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86" w:rsidRDefault="004A6CF0" w:rsidP="004A6CF0">
      <w:pPr>
        <w:keepNext/>
        <w:keepLines/>
        <w:ind w:left="10632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                 Утвержден</w:t>
      </w:r>
      <w:r w:rsidR="00181BF4">
        <w:rPr>
          <w:rFonts w:eastAsiaTheme="majorEastAsia"/>
          <w:bCs/>
          <w:sz w:val="28"/>
          <w:szCs w:val="28"/>
        </w:rPr>
        <w:t xml:space="preserve"> </w:t>
      </w:r>
    </w:p>
    <w:p w:rsidR="00BA7B86" w:rsidRDefault="00181BF4" w:rsidP="004A6CF0">
      <w:pPr>
        <w:keepNext/>
        <w:keepLines/>
        <w:ind w:left="10632"/>
        <w:outlineLvl w:val="1"/>
        <w:rPr>
          <w:rFonts w:eastAsiaTheme="majorEastAsia"/>
          <w:bCs/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>распоряжени</w:t>
      </w:r>
      <w:r w:rsidR="004A6CF0">
        <w:rPr>
          <w:rFonts w:eastAsiaTheme="majorEastAsia"/>
          <w:bCs/>
          <w:sz w:val="28"/>
          <w:szCs w:val="28"/>
        </w:rPr>
        <w:t>ем</w:t>
      </w:r>
      <w:r>
        <w:rPr>
          <w:rFonts w:eastAsiaTheme="majorEastAsia"/>
          <w:bCs/>
          <w:sz w:val="28"/>
          <w:szCs w:val="28"/>
        </w:rPr>
        <w:t xml:space="preserve"> Правительства  Брянской области</w:t>
      </w:r>
    </w:p>
    <w:p w:rsidR="00BA7B86" w:rsidRDefault="00181BF4" w:rsidP="004A6CF0">
      <w:pPr>
        <w:keepNext/>
        <w:keepLines/>
        <w:ind w:left="10632"/>
        <w:outlineLvl w:val="1"/>
        <w:rPr>
          <w:sz w:val="28"/>
          <w:szCs w:val="28"/>
        </w:rPr>
      </w:pPr>
      <w:r>
        <w:rPr>
          <w:rFonts w:eastAsiaTheme="majorEastAsia"/>
          <w:bCs/>
          <w:sz w:val="28"/>
          <w:szCs w:val="28"/>
        </w:rPr>
        <w:t xml:space="preserve">от </w:t>
      </w:r>
      <w:r w:rsidR="00C1497B">
        <w:rPr>
          <w:sz w:val="28"/>
          <w:szCs w:val="28"/>
        </w:rPr>
        <w:t xml:space="preserve">26 декабря </w:t>
      </w:r>
      <w:r w:rsidR="00C1497B" w:rsidRPr="00FF7443">
        <w:rPr>
          <w:sz w:val="28"/>
          <w:szCs w:val="28"/>
        </w:rPr>
        <w:t xml:space="preserve">2023 г.  №  </w:t>
      </w:r>
      <w:r w:rsidR="00C1497B">
        <w:rPr>
          <w:sz w:val="28"/>
          <w:szCs w:val="28"/>
        </w:rPr>
        <w:t>390</w:t>
      </w:r>
      <w:r w:rsidR="00C1497B" w:rsidRPr="00FF7443">
        <w:rPr>
          <w:sz w:val="28"/>
          <w:szCs w:val="28"/>
        </w:rPr>
        <w:t>-рп</w:t>
      </w:r>
      <w:bookmarkStart w:id="0" w:name="_GoBack"/>
      <w:bookmarkEnd w:id="0"/>
    </w:p>
    <w:p w:rsidR="00BA7B86" w:rsidRDefault="00BA7B86" w:rsidP="004A6CF0">
      <w:pPr>
        <w:rPr>
          <w:sz w:val="28"/>
          <w:szCs w:val="28"/>
        </w:rPr>
      </w:pPr>
    </w:p>
    <w:p w:rsidR="00BA7B86" w:rsidRDefault="00BA7B86">
      <w:pPr>
        <w:jc w:val="center"/>
        <w:rPr>
          <w:sz w:val="28"/>
          <w:szCs w:val="28"/>
        </w:rPr>
      </w:pPr>
    </w:p>
    <w:p w:rsidR="00BA7B86" w:rsidRDefault="00BA7B86">
      <w:pPr>
        <w:jc w:val="center"/>
        <w:rPr>
          <w:sz w:val="28"/>
          <w:szCs w:val="28"/>
        </w:rPr>
      </w:pPr>
    </w:p>
    <w:p w:rsidR="00BA7B86" w:rsidRDefault="00181BF4">
      <w:pPr>
        <w:jc w:val="center"/>
        <w:rPr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 xml:space="preserve">План мероприятий («дорожная карта») </w:t>
      </w:r>
    </w:p>
    <w:p w:rsidR="00BA7B86" w:rsidRDefault="00181BF4">
      <w:pPr>
        <w:jc w:val="center"/>
        <w:rPr>
          <w:b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по созданию системы долговременного ухода за гражданами пожилого возраста и инвалидами, нуждающимися в уходе в Брянской области в 2024 году</w:t>
      </w:r>
    </w:p>
    <w:p w:rsidR="00BA7B86" w:rsidRDefault="00BA7B86">
      <w:pPr>
        <w:jc w:val="center"/>
        <w:rPr>
          <w:b/>
          <w:sz w:val="28"/>
          <w:szCs w:val="28"/>
        </w:rPr>
      </w:pPr>
    </w:p>
    <w:tbl>
      <w:tblPr>
        <w:tblStyle w:val="af8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572"/>
        <w:gridCol w:w="2274"/>
        <w:gridCol w:w="2832"/>
        <w:gridCol w:w="1426"/>
        <w:gridCol w:w="1559"/>
        <w:gridCol w:w="1690"/>
        <w:gridCol w:w="1388"/>
      </w:tblGrid>
      <w:tr w:rsidR="00BA7B86">
        <w:trPr>
          <w:trHeight w:val="423"/>
        </w:trPr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мероприятия/</w:t>
            </w:r>
          </w:p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контрольные точки</w:t>
            </w:r>
          </w:p>
        </w:tc>
        <w:tc>
          <w:tcPr>
            <w:tcW w:w="2274" w:type="dxa"/>
            <w:vMerge w:val="restart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Ожидаемый результат/вид документа</w:t>
            </w:r>
          </w:p>
        </w:tc>
        <w:tc>
          <w:tcPr>
            <w:tcW w:w="2985" w:type="dxa"/>
            <w:gridSpan w:val="2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3078" w:type="dxa"/>
            <w:gridSpan w:val="2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Финансирование мероприятий</w:t>
            </w:r>
          </w:p>
        </w:tc>
      </w:tr>
      <w:tr w:rsidR="00BA7B86">
        <w:trPr>
          <w:trHeight w:val="450"/>
        </w:trPr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Источник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финансирования, тыс. рублей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572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74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32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4741" w:type="dxa"/>
            <w:gridSpan w:val="7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модели системы долговременного ухода за гражданами пожилого возраста и инвалидами, нуждающимися в уходе   в Брянской области в 2024 году</w:t>
            </w:r>
          </w:p>
        </w:tc>
        <w:tc>
          <w:tcPr>
            <w:tcW w:w="2274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социальной политики и занятости населения Брянской области 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</w:t>
            </w:r>
            <w:r>
              <w:rPr>
                <w:sz w:val="24"/>
              </w:rPr>
              <w:t xml:space="preserve">постановление Правительства Брянской области от 21 августа 2023 года № 383-п «Об утверждении модели </w:t>
            </w:r>
            <w:r>
              <w:rPr>
                <w:sz w:val="24"/>
                <w:szCs w:val="24"/>
              </w:rPr>
              <w:t>системы долговременного ухода за гражданами пожилого возраста и инвалидами, нуждающимися в уходе   в Брянской области»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территорий (муниципальных образований) </w:t>
            </w:r>
            <w:r>
              <w:rPr>
                <w:sz w:val="24"/>
                <w:szCs w:val="24"/>
              </w:rPr>
              <w:lastRenderedPageBreak/>
              <w:t>для реализации типовой модели системы долговременного ухода за гражданами пожилого возраста и инвалидами, нуждающимися в уходе в 2024 году</w:t>
            </w:r>
          </w:p>
        </w:tc>
        <w:tc>
          <w:tcPr>
            <w:tcW w:w="2274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lastRenderedPageBreak/>
              <w:t xml:space="preserve">департамент социальной </w:t>
            </w:r>
            <w:r>
              <w:rPr>
                <w:sz w:val="24"/>
                <w:szCs w:val="24"/>
              </w:rPr>
              <w:lastRenderedPageBreak/>
              <w:t xml:space="preserve">политики и занятости населения Брянской области </w:t>
            </w:r>
          </w:p>
          <w:p w:rsidR="00BA7B86" w:rsidRDefault="00BA7B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внесение изменений в </w:t>
            </w:r>
            <w:r>
              <w:rPr>
                <w:sz w:val="24"/>
              </w:rPr>
              <w:t xml:space="preserve">постановление </w:t>
            </w:r>
            <w:r>
              <w:rPr>
                <w:sz w:val="24"/>
              </w:rPr>
              <w:lastRenderedPageBreak/>
              <w:t xml:space="preserve">Правительства Брянской области от 21 августа 2023 года № 383-п «Об утверждении модели </w:t>
            </w:r>
            <w:r>
              <w:rPr>
                <w:sz w:val="24"/>
                <w:szCs w:val="24"/>
              </w:rPr>
              <w:t>системы долговременного ухода за гражданами пожилого возраста и инвалидами, нуждающимися в уходе   в Брянской области», внесение изменений в приказ  департамента социальной политики и занятости населения Брянской области  от 23 августа 2023 года №915 «Об утверждении отдельных документов в</w:t>
            </w:r>
            <w:proofErr w:type="gramEnd"/>
          </w:p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t>рамках</w:t>
            </w:r>
            <w:proofErr w:type="gramEnd"/>
            <w:r>
              <w:rPr>
                <w:sz w:val="24"/>
                <w:szCs w:val="24"/>
              </w:rPr>
              <w:t xml:space="preserve"> внедрения системы долговременного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ухода за гражданами пожилого возраста и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инвалидами, нуждающимися в уходе, в Брянской области», подписание соглашений с КЦСОН о реализации СДУ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межведомственной рабочей группы по созданию системы долговременного ухода</w:t>
            </w:r>
          </w:p>
        </w:tc>
        <w:tc>
          <w:tcPr>
            <w:tcW w:w="2274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департамент социальной политики и занятости населения Брянской области, департамент здравоохранения Брянской области </w:t>
            </w:r>
          </w:p>
          <w:p w:rsidR="00BA7B86" w:rsidRDefault="00BA7B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BA7B86" w:rsidRDefault="00181BF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Правительства Брянской области от 21 августа 2023 года № 214-рп «</w:t>
            </w:r>
            <w:r>
              <w:rPr>
                <w:color w:val="000000" w:themeColor="text1"/>
                <w:sz w:val="24"/>
              </w:rPr>
              <w:t>О создании межведомственной</w:t>
            </w:r>
          </w:p>
          <w:p w:rsidR="00BA7B86" w:rsidRDefault="00181BF4">
            <w:pPr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рабочей группы по внедрению </w:t>
            </w:r>
          </w:p>
          <w:p w:rsidR="00BA7B86" w:rsidRDefault="00181BF4">
            <w:pPr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системы долговременного ухода </w:t>
            </w:r>
            <w:proofErr w:type="gramStart"/>
            <w:r>
              <w:rPr>
                <w:color w:val="000000" w:themeColor="text1"/>
                <w:sz w:val="24"/>
              </w:rPr>
              <w:t>за</w:t>
            </w:r>
            <w:proofErr w:type="gramEnd"/>
          </w:p>
          <w:p w:rsidR="00BA7B86" w:rsidRDefault="00181BF4">
            <w:pPr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гражданами пожилого возраста и</w:t>
            </w:r>
          </w:p>
          <w:p w:rsidR="00BA7B86" w:rsidRDefault="00181BF4">
            <w:pPr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инвалидами, нуждающимися в уходе,</w:t>
            </w:r>
          </w:p>
          <w:p w:rsidR="00BA7B86" w:rsidRDefault="00181BF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>в Брянской области»,</w:t>
            </w:r>
            <w:r>
              <w:rPr>
                <w:sz w:val="24"/>
                <w:szCs w:val="24"/>
              </w:rPr>
              <w:t xml:space="preserve"> протоколы заседаний межведомственной группы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Реализация регламента  межведомственного взаимодействия, в том числе информационного взаимодействия участников системы долговременного ухода в рамках создания системы долговременного ухода</w:t>
            </w:r>
          </w:p>
        </w:tc>
        <w:tc>
          <w:tcPr>
            <w:tcW w:w="2274" w:type="dxa"/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области, департамент здравоохранения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области, департамента здравоохранения Брянской области от 15.11.2023 года 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№ 1174/1313 «Об утверждении </w:t>
            </w:r>
            <w:proofErr w:type="gramStart"/>
            <w:r>
              <w:rPr>
                <w:sz w:val="24"/>
                <w:szCs w:val="24"/>
              </w:rPr>
              <w:t xml:space="preserve">регламента </w:t>
            </w:r>
            <w:r>
              <w:rPr>
                <w:color w:val="000000" w:themeColor="text1"/>
                <w:sz w:val="24"/>
                <w:szCs w:val="24"/>
              </w:rPr>
              <w:t>межведомственного взаимодействия</w:t>
            </w:r>
            <w:r>
              <w:rPr>
                <w:sz w:val="24"/>
                <w:szCs w:val="24"/>
              </w:rPr>
              <w:t xml:space="preserve"> участников </w:t>
            </w:r>
            <w:r>
              <w:rPr>
                <w:color w:val="000000" w:themeColor="text1"/>
                <w:sz w:val="24"/>
                <w:szCs w:val="24"/>
              </w:rPr>
              <w:t>системы долговременного ухода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в рамках реализации системы долговременного ухода в Брянской области»</w:t>
            </w:r>
          </w:p>
          <w:p w:rsidR="00BA7B86" w:rsidRDefault="00BA7B8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обеспечение функционирования модуля «СДУ» на базе ведомственных информационных систем департамента социальной политики и занятости населения Брянской области, департамент здравоохранения Брянской области и единой системы межведомственного электронного взаимодействия (СМЭВ) в целях межведомственного взаимодействия участников системы долговременного ухода, в том числе информационного обмена сведениями о гражданах, нуждающихся в уходе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области, департамент здравоохранения Брянской области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 в эксплуатацию и функционирует модуль «СДУ» на базе ведомственных информационных систем департамента социальной политики и занятости населения Брянской области, департамент здравоохранения Брянской области и единой системы межведомственного электронного взаимодействия (СМЭВ), обеспечивающий получение, хранение, передачу и обмен сведениями о гражданах, нуждающихся в уходе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widowControl/>
              <w:tabs>
                <w:tab w:val="left" w:pos="33"/>
                <w:tab w:val="left" w:pos="635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1.7.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Утверждение ключевых показателей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эффективности пилотного проекта по созданию системы долговременного ухода за гражданами пожилого возраста и инвалидами, нуждающимися в уходе, реализуемого в субъекте Российской Федерации в рамках федерального проекта «Старшее поколение» национального проекта «Демография», отражающих результаты внедрения системы долговременного ухода </w:t>
            </w:r>
            <w:proofErr w:type="gramEnd"/>
          </w:p>
        </w:tc>
        <w:tc>
          <w:tcPr>
            <w:tcW w:w="2274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области, департамент здравоохранения Брянской области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соглашение с Минтрудом РФ   о реализации </w:t>
            </w:r>
            <w:r>
              <w:rPr>
                <w:color w:val="000000" w:themeColor="text1"/>
                <w:sz w:val="24"/>
                <w:szCs w:val="24"/>
              </w:rPr>
              <w:t xml:space="preserve">в субъекте Российской Федерации в рамках федерального проекта «Старшее поколение» национального проекта «Демография», отражающих результаты внедрения системы долговременного ухода </w:t>
            </w:r>
          </w:p>
          <w:p w:rsidR="00BA7B86" w:rsidRDefault="00BA7B86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3572" w:type="dxa"/>
          </w:tcPr>
          <w:p w:rsidR="00BA7B86" w:rsidRDefault="00181BF4" w:rsidP="00B37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Проведение оценки результативности и эффективности  создания системы долговременного ухода в </w:t>
            </w:r>
            <w:r w:rsidR="00B37434">
              <w:rPr>
                <w:color w:val="000000" w:themeColor="text1"/>
                <w:sz w:val="24"/>
                <w:szCs w:val="24"/>
              </w:rPr>
              <w:t>Брянской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="00B37434">
              <w:rPr>
                <w:color w:val="000000" w:themeColor="text1"/>
                <w:sz w:val="24"/>
                <w:szCs w:val="24"/>
              </w:rPr>
              <w:t xml:space="preserve">                             </w:t>
            </w:r>
            <w:r>
              <w:rPr>
                <w:color w:val="000000" w:themeColor="text1"/>
                <w:sz w:val="24"/>
                <w:szCs w:val="24"/>
              </w:rPr>
              <w:t>за 1 полугодие 2024 года</w:t>
            </w:r>
          </w:p>
        </w:tc>
        <w:tc>
          <w:tcPr>
            <w:tcW w:w="2274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области, департамент здравоохранения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26" w:type="dxa"/>
          </w:tcPr>
          <w:p w:rsidR="00BA7B86" w:rsidRDefault="00181BF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01.01.2024</w:t>
            </w:r>
          </w:p>
          <w:p w:rsidR="00BA7B86" w:rsidRDefault="00BA7B86">
            <w:pPr>
              <w:rPr>
                <w:color w:val="000000"/>
                <w:sz w:val="24"/>
                <w:szCs w:val="24"/>
              </w:rPr>
            </w:pPr>
          </w:p>
          <w:p w:rsidR="00BA7B86" w:rsidRDefault="00BA7B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31.07.2024</w:t>
            </w:r>
          </w:p>
          <w:p w:rsidR="00BA7B86" w:rsidRDefault="00BA7B8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A7B86" w:rsidRDefault="00BA7B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741" w:type="dxa"/>
            <w:gridSpan w:val="7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работы </w:t>
            </w:r>
            <w:proofErr w:type="gramStart"/>
            <w:r>
              <w:rPr>
                <w:b/>
                <w:sz w:val="24"/>
                <w:szCs w:val="24"/>
              </w:rPr>
              <w:t>регионального</w:t>
            </w:r>
            <w:proofErr w:type="gramEnd"/>
            <w:r>
              <w:rPr>
                <w:b/>
                <w:sz w:val="24"/>
                <w:szCs w:val="24"/>
              </w:rPr>
              <w:t>, территориальных координационных центров, поставщиков социальных услуг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572" w:type="dxa"/>
          </w:tcPr>
          <w:p w:rsidR="00BA7B86" w:rsidRDefault="00181BF4" w:rsidP="00B374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регионального координационного центра (РКЦ) на базе государственного казенного учреждения «Отдел социальной защиты населения Советского района г</w:t>
            </w:r>
            <w:r w:rsidR="00B374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Брянска», г. Брянск, 1 проезд  Станке Димитрова, д. 12</w:t>
            </w:r>
          </w:p>
        </w:tc>
        <w:tc>
          <w:tcPr>
            <w:tcW w:w="2274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 w:rsidP="00B374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РКЦ функционирует на базе государственного казенного учреждения «Отдел социальной защиты населения Советского района </w:t>
            </w:r>
            <w:r w:rsidR="00B37434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>г</w:t>
            </w:r>
            <w:r w:rsidR="00B374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Брянска», г. Брянск, </w:t>
            </w:r>
            <w:r w:rsidR="00B37434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 проезд  Станке Димитрова, д. 12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специалистов  в РКЦ</w:t>
            </w:r>
          </w:p>
        </w:tc>
        <w:tc>
          <w:tcPr>
            <w:tcW w:w="2274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 w:rsidP="00B374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штатном расписании государственного казенного учреждения «Отдел социальной защиты населения Советского района </w:t>
            </w:r>
            <w:r w:rsidR="00B37434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г</w:t>
            </w:r>
            <w:r w:rsidR="00B374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Брянска» функционирует </w:t>
            </w:r>
            <w:r w:rsidR="00B37434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>2  штатные единицы, введено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 штатные единицы 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572" w:type="dxa"/>
          </w:tcPr>
          <w:p w:rsidR="00BA7B86" w:rsidRDefault="00181BF4" w:rsidP="00B374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представительств регионального координационного центра в муниципальных образованиях     на базе государственного казенного учреждения «Отдел социальной защиты населения Советского района г</w:t>
            </w:r>
            <w:r w:rsidR="00B3743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Брянска», г. Брянск, 1 проезд  Станке Димитрова, д. 12</w:t>
            </w:r>
          </w:p>
        </w:tc>
        <w:tc>
          <w:tcPr>
            <w:tcW w:w="2274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штатном расписании РКЦ функционирует 17 штатных единиц, введено 7 штатных единиц, которые</w:t>
            </w:r>
          </w:p>
          <w:p w:rsidR="00BA7B86" w:rsidRDefault="00181BF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территориально размещены в  ОСЗН городов и районов Брянской области в рамках заключенных соглашений </w:t>
            </w:r>
            <w:proofErr w:type="gramEnd"/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 w:rsidP="00B37434">
            <w:pPr>
              <w:spacing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572" w:type="dxa"/>
          </w:tcPr>
          <w:p w:rsidR="00BA7B86" w:rsidRDefault="00181BF4" w:rsidP="00B37434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ведущих специалистов (экспертов по оценке нуждаемости) в муниципальных образованиях (ТКЦ)</w:t>
            </w:r>
          </w:p>
        </w:tc>
        <w:tc>
          <w:tcPr>
            <w:tcW w:w="2274" w:type="dxa"/>
          </w:tcPr>
          <w:p w:rsidR="00BA7B86" w:rsidRDefault="00181BF4" w:rsidP="00B37434">
            <w:pPr>
              <w:spacing w:line="230" w:lineRule="auto"/>
            </w:pPr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 w:rsidP="00B37434">
            <w:pPr>
              <w:spacing w:line="230" w:lineRule="auto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BA7B86" w:rsidRDefault="00181BF4" w:rsidP="00B37434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штатные единицы ведущих специалистов (экспертов по оценке нуждаемости), территориально расположены в муниципальных образованиях:</w:t>
            </w:r>
          </w:p>
          <w:p w:rsidR="00BA7B86" w:rsidRDefault="00181BF4" w:rsidP="00B37434">
            <w:pPr>
              <w:spacing w:line="230" w:lineRule="auto"/>
              <w:jc w:val="both"/>
            </w:pPr>
            <w:proofErr w:type="gramStart"/>
            <w:r>
              <w:rPr>
                <w:sz w:val="24"/>
                <w:szCs w:val="24"/>
              </w:rPr>
              <w:t xml:space="preserve">городском округе </w:t>
            </w:r>
            <w:proofErr w:type="gramEnd"/>
          </w:p>
          <w:p w:rsidR="00BA7B86" w:rsidRDefault="00181BF4" w:rsidP="00B37434">
            <w:pPr>
              <w:spacing w:line="230" w:lineRule="auto"/>
              <w:jc w:val="both"/>
            </w:pPr>
            <w:r>
              <w:rPr>
                <w:sz w:val="24"/>
                <w:szCs w:val="24"/>
              </w:rPr>
              <w:t>г</w:t>
            </w:r>
            <w:r w:rsidR="00B37434">
              <w:rPr>
                <w:sz w:val="24"/>
                <w:szCs w:val="24"/>
              </w:rPr>
              <w:t>ород</w:t>
            </w:r>
            <w:r>
              <w:rPr>
                <w:sz w:val="24"/>
                <w:szCs w:val="24"/>
              </w:rPr>
              <w:t xml:space="preserve"> Брянск - 3 шт. ед.;</w:t>
            </w:r>
          </w:p>
          <w:p w:rsidR="00BA7B86" w:rsidRDefault="00181BF4" w:rsidP="00B37434">
            <w:pPr>
              <w:spacing w:line="230" w:lineRule="auto"/>
              <w:jc w:val="both"/>
            </w:pPr>
            <w:proofErr w:type="gramStart"/>
            <w:r>
              <w:rPr>
                <w:sz w:val="24"/>
                <w:szCs w:val="24"/>
              </w:rPr>
              <w:t xml:space="preserve">городском округе </w:t>
            </w:r>
            <w:proofErr w:type="gramEnd"/>
          </w:p>
          <w:p w:rsidR="00BA7B86" w:rsidRDefault="00181BF4" w:rsidP="00B37434">
            <w:pPr>
              <w:spacing w:line="230" w:lineRule="auto"/>
              <w:jc w:val="both"/>
            </w:pPr>
            <w:r>
              <w:rPr>
                <w:sz w:val="24"/>
                <w:szCs w:val="24"/>
              </w:rPr>
              <w:t>г</w:t>
            </w:r>
            <w:r w:rsidR="00B37434">
              <w:rPr>
                <w:sz w:val="24"/>
                <w:szCs w:val="24"/>
              </w:rPr>
              <w:t>ород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Клинцы</w:t>
            </w:r>
            <w:proofErr w:type="spellEnd"/>
            <w:r>
              <w:rPr>
                <w:sz w:val="24"/>
                <w:szCs w:val="24"/>
              </w:rPr>
              <w:t xml:space="preserve"> - 1 шт.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sz w:val="24"/>
                <w:szCs w:val="24"/>
              </w:rPr>
              <w:t>;</w:t>
            </w:r>
          </w:p>
          <w:p w:rsidR="00BA7B86" w:rsidRDefault="00B37434" w:rsidP="00B37434">
            <w:pPr>
              <w:spacing w:line="230" w:lineRule="auto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Новозыбковском</w:t>
            </w:r>
            <w:proofErr w:type="spellEnd"/>
            <w:r>
              <w:rPr>
                <w:sz w:val="24"/>
                <w:szCs w:val="24"/>
              </w:rPr>
              <w:t xml:space="preserve"> г</w:t>
            </w:r>
            <w:r w:rsidR="00181BF4">
              <w:rPr>
                <w:sz w:val="24"/>
                <w:szCs w:val="24"/>
              </w:rPr>
              <w:t xml:space="preserve">ородском округе - </w:t>
            </w:r>
            <w:r>
              <w:rPr>
                <w:sz w:val="24"/>
                <w:szCs w:val="24"/>
              </w:rPr>
              <w:t xml:space="preserve">                 </w:t>
            </w:r>
            <w:r w:rsidR="00181BF4">
              <w:rPr>
                <w:sz w:val="24"/>
                <w:szCs w:val="24"/>
              </w:rPr>
              <w:t>1 шт. ед.;</w:t>
            </w:r>
            <w:proofErr w:type="gramEnd"/>
          </w:p>
          <w:p w:rsidR="00BA7B86" w:rsidRDefault="00181BF4" w:rsidP="00B37434">
            <w:pPr>
              <w:spacing w:line="230" w:lineRule="auto"/>
              <w:jc w:val="both"/>
            </w:pPr>
            <w:proofErr w:type="spellStart"/>
            <w:proofErr w:type="gramStart"/>
            <w:r>
              <w:rPr>
                <w:sz w:val="24"/>
                <w:szCs w:val="24"/>
              </w:rPr>
              <w:t>Сельцо</w:t>
            </w:r>
            <w:r w:rsidR="00B37434">
              <w:rPr>
                <w:sz w:val="24"/>
                <w:szCs w:val="24"/>
              </w:rPr>
              <w:t>вском</w:t>
            </w:r>
            <w:proofErr w:type="spellEnd"/>
            <w:r w:rsidR="00B37434">
              <w:rPr>
                <w:sz w:val="24"/>
                <w:szCs w:val="24"/>
              </w:rPr>
              <w:t xml:space="preserve"> городском округе</w:t>
            </w:r>
            <w:r>
              <w:rPr>
                <w:sz w:val="24"/>
                <w:szCs w:val="24"/>
              </w:rPr>
              <w:t xml:space="preserve"> - 1 шт. ед.;</w:t>
            </w:r>
            <w:proofErr w:type="gramEnd"/>
          </w:p>
          <w:p w:rsidR="00BA7B86" w:rsidRDefault="00181BF4" w:rsidP="00B37434">
            <w:pPr>
              <w:spacing w:line="23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Брасовском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</w:t>
            </w:r>
            <w:proofErr w:type="gramStart"/>
            <w:r>
              <w:rPr>
                <w:sz w:val="24"/>
                <w:szCs w:val="24"/>
              </w:rPr>
              <w:t>районе</w:t>
            </w:r>
            <w:proofErr w:type="gramEnd"/>
            <w:r w:rsidR="00B374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 1 </w:t>
            </w:r>
            <w:proofErr w:type="spellStart"/>
            <w:r>
              <w:rPr>
                <w:sz w:val="24"/>
                <w:szCs w:val="24"/>
              </w:rPr>
              <w:t>шт.ед</w:t>
            </w:r>
            <w:proofErr w:type="spellEnd"/>
            <w:r>
              <w:rPr>
                <w:sz w:val="24"/>
                <w:szCs w:val="24"/>
              </w:rPr>
              <w:t>.; Брянском муниципальном районе - 1 шт. ед.;</w:t>
            </w:r>
          </w:p>
          <w:p w:rsidR="00BA7B86" w:rsidRDefault="00181BF4" w:rsidP="00B37434">
            <w:pPr>
              <w:spacing w:line="23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Дятьковском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</w:t>
            </w:r>
            <w:proofErr w:type="gramStart"/>
            <w:r>
              <w:rPr>
                <w:sz w:val="24"/>
                <w:szCs w:val="24"/>
              </w:rPr>
              <w:t>районе</w:t>
            </w:r>
            <w:proofErr w:type="gramEnd"/>
            <w:r>
              <w:rPr>
                <w:sz w:val="24"/>
                <w:szCs w:val="24"/>
              </w:rPr>
              <w:t>- 1 шт. ед.; Жуковском муниципальном округе - 1 шт. ед.;</w:t>
            </w:r>
          </w:p>
          <w:p w:rsidR="00BA7B86" w:rsidRDefault="00BA7B86" w:rsidP="00B37434">
            <w:pPr>
              <w:spacing w:line="230" w:lineRule="auto"/>
              <w:jc w:val="both"/>
            </w:pPr>
          </w:p>
          <w:p w:rsidR="00BA7B86" w:rsidRDefault="00181BF4" w:rsidP="00B37434">
            <w:pPr>
              <w:spacing w:line="230" w:lineRule="auto"/>
              <w:jc w:val="both"/>
            </w:pPr>
            <w:proofErr w:type="spellStart"/>
            <w:r>
              <w:rPr>
                <w:sz w:val="24"/>
                <w:szCs w:val="24"/>
              </w:rPr>
              <w:t>Злынковском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</w:t>
            </w:r>
            <w:proofErr w:type="gramStart"/>
            <w:r>
              <w:rPr>
                <w:sz w:val="24"/>
                <w:szCs w:val="24"/>
              </w:rPr>
              <w:t>районе</w:t>
            </w:r>
            <w:proofErr w:type="gramEnd"/>
            <w:r>
              <w:rPr>
                <w:sz w:val="24"/>
                <w:szCs w:val="24"/>
              </w:rPr>
              <w:t xml:space="preserve">- 2 </w:t>
            </w:r>
            <w:proofErr w:type="spellStart"/>
            <w:r>
              <w:rPr>
                <w:sz w:val="24"/>
                <w:szCs w:val="24"/>
              </w:rPr>
              <w:t>шт.ед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Карачевском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Клетнянском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 xml:space="preserve">.; 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Климовском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шт. ед.;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Навлинском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Погарском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Почепском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Севском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8"/>
              </w:rPr>
              <w:t>Стародубском</w:t>
            </w:r>
            <w:proofErr w:type="gramEnd"/>
            <w:r>
              <w:rPr>
                <w:sz w:val="24"/>
                <w:szCs w:val="28"/>
              </w:rPr>
              <w:t xml:space="preserve"> муниципальном округе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Суражском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Суземском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- 1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.;</w:t>
            </w:r>
          </w:p>
          <w:p w:rsidR="00BA7B86" w:rsidRDefault="00181BF4" w:rsidP="00B37434">
            <w:pPr>
              <w:tabs>
                <w:tab w:val="left" w:pos="709"/>
              </w:tabs>
              <w:spacing w:line="23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szCs w:val="28"/>
              </w:rPr>
              <w:t>Унечском</w:t>
            </w:r>
            <w:proofErr w:type="spellEnd"/>
            <w:r>
              <w:rPr>
                <w:sz w:val="24"/>
                <w:szCs w:val="28"/>
              </w:rPr>
              <w:t xml:space="preserve"> муниципальном </w:t>
            </w:r>
            <w:proofErr w:type="gramStart"/>
            <w:r>
              <w:rPr>
                <w:sz w:val="24"/>
                <w:szCs w:val="28"/>
              </w:rPr>
              <w:t>районе</w:t>
            </w:r>
            <w:proofErr w:type="gramEnd"/>
            <w:r>
              <w:rPr>
                <w:sz w:val="24"/>
                <w:szCs w:val="28"/>
              </w:rPr>
              <w:t xml:space="preserve"> - 2 </w:t>
            </w:r>
            <w:proofErr w:type="spellStart"/>
            <w:r>
              <w:rPr>
                <w:sz w:val="24"/>
                <w:szCs w:val="28"/>
              </w:rPr>
              <w:t>шт.ед</w:t>
            </w:r>
            <w:proofErr w:type="spellEnd"/>
            <w:r>
              <w:rPr>
                <w:sz w:val="24"/>
                <w:szCs w:val="28"/>
              </w:rPr>
              <w:t>.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пунктов проката технических средств реабилитации (ТСР) на базе 29 комплексных центров социального обслуживания населения 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№915 «Об утверждении отдельных документов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t>рамках</w:t>
            </w:r>
            <w:proofErr w:type="gramEnd"/>
            <w:r>
              <w:rPr>
                <w:sz w:val="24"/>
                <w:szCs w:val="24"/>
              </w:rPr>
              <w:t xml:space="preserve"> внедрения системы долговременного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ухода за гражданами пожилого возраста и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инвалидами, нуждающимися в уходе, в Брянской области», подписание соглашений с КЦСОН о реализации СДУ, перечень организаций социального обслуживания, на базе  которых функционируют пункты проката ТСР  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«школ ухода» на базе  29 комплексных центров социального обслуживания населения 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№915 «Об утверждении отдельных документов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t>рамках</w:t>
            </w:r>
            <w:proofErr w:type="gramEnd"/>
            <w:r>
              <w:rPr>
                <w:sz w:val="24"/>
                <w:szCs w:val="24"/>
              </w:rPr>
              <w:t xml:space="preserve"> внедрения системы долговременного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ухода за гражданами пожилого возраста и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инвалидами, нуждающимися в уходе, в Брянской области», подписание соглашений с КЦСОН о реализации СДУ, перечень организаций социального обслуживания, на базе которых функционируют «школы ухода» 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4741" w:type="dxa"/>
            <w:gridSpan w:val="7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Мероприятия по подготовке и дополнительному профессиональному </w:t>
            </w:r>
            <w:r>
              <w:rPr>
                <w:b/>
                <w:sz w:val="24"/>
                <w:szCs w:val="24"/>
              </w:rPr>
              <w:br/>
              <w:t>обучению сотрудников организаций социального обслуживанию в рамках пилотного проекта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57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экспертах по оценке нуждаемости и специалистов по социальной работе, а также поиск кандидатов на данные должности (постоянно)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подобраны эксперты по оценке нуждаемости и специалисты по социальной работе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помощниках по уходу, а также поиск кандидатов на данные должности (постоянно)</w:t>
            </w:r>
          </w:p>
          <w:p w:rsidR="00BA7B86" w:rsidRDefault="00BA7B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подобраны помощники по уходу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572" w:type="dxa"/>
          </w:tcPr>
          <w:p w:rsidR="00BA7B86" w:rsidRDefault="00181BF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sz w:val="24"/>
                <w:szCs w:val="24"/>
              </w:rPr>
              <w:t>обучения экспертов по оценке</w:t>
            </w:r>
            <w:proofErr w:type="gramEnd"/>
            <w:r>
              <w:rPr>
                <w:sz w:val="24"/>
                <w:szCs w:val="24"/>
              </w:rPr>
              <w:t xml:space="preserve"> нуждаемости по программе «Экспертная деятельность по определению индивидуальной потребности граждан в социальном обслуживании, в том числе в социальных услугах по уходу»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области,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Благотворительный фонд «Старость в радость»</w:t>
            </w:r>
          </w:p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организовано  обучение 15 работников регионального координационного центра и территориальных координационных центров по профессиональной  программе обучения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Благотворительного фонда «Старость в радость»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572" w:type="dxa"/>
          </w:tcPr>
          <w:p w:rsidR="00BA7B86" w:rsidRDefault="00181BF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обучения работников организаций социального обслуживания, участвующих в организации и предоставлении социальных услуг по уходу (помощники по уходу) по профессиональной программе «Помощник по уходу»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организовано обучение 100 помощников по уходу поставщиков социальных услуг по профессиональной программе </w:t>
            </w:r>
            <w:proofErr w:type="gramStart"/>
            <w:r>
              <w:rPr>
                <w:sz w:val="24"/>
                <w:szCs w:val="24"/>
              </w:rPr>
              <w:t>обучения по должности</w:t>
            </w:r>
            <w:proofErr w:type="gramEnd"/>
            <w:r>
              <w:rPr>
                <w:sz w:val="24"/>
                <w:szCs w:val="24"/>
              </w:rPr>
              <w:t xml:space="preserve"> «Помощник по уходу», в том числе в</w:t>
            </w:r>
            <w:r>
              <w:rPr>
                <w:sz w:val="24"/>
                <w:szCs w:val="24"/>
              </w:rPr>
              <w:br/>
              <w:t>2024 году: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– 20 человек;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– 10 человек;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– 20 человек;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–10 человек;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– 20 человек;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–20 человек; 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средства  от приносящей доход деятельности учреждений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4741" w:type="dxa"/>
            <w:gridSpan w:val="7"/>
          </w:tcPr>
          <w:p w:rsidR="00BA7B86" w:rsidRDefault="00181B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предоставления социальных услуг по уходу, включенных в социальный пакет долговременного ухода поставщиками социальных услуг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организаций социального обслуживания – государственных поставщиков социальных услуг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№915 «Об утверждении отдельных документов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t>рамках</w:t>
            </w:r>
            <w:proofErr w:type="gramEnd"/>
            <w:r>
              <w:rPr>
                <w:sz w:val="24"/>
                <w:szCs w:val="24"/>
              </w:rPr>
              <w:t xml:space="preserve"> внедрения системы долговременного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ухода за гражданами пожилого возраста и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инвалидами, нуждающимися в уходе, в Брянской области», подписание соглашений с КЦСОН о реализации СДУ, перечень организаций социального обслуживания, утвержденный приказом департамента</w:t>
            </w:r>
          </w:p>
          <w:p w:rsidR="00BA7B86" w:rsidRDefault="00BA7B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организаций социального обслуживания – негосударственных поставщиков социальных услуг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 xml:space="preserve">приказ департамента социальной политики и занятости населения Брянской области от 23 августа 2023 года № 915 «Об утверждении отдельных документов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BA7B86" w:rsidRDefault="00181BF4">
            <w:pPr>
              <w:jc w:val="both"/>
            </w:pPr>
            <w:proofErr w:type="gramStart"/>
            <w:r>
              <w:rPr>
                <w:sz w:val="24"/>
                <w:szCs w:val="24"/>
              </w:rPr>
              <w:t>рамках</w:t>
            </w:r>
            <w:proofErr w:type="gramEnd"/>
            <w:r>
              <w:rPr>
                <w:sz w:val="24"/>
                <w:szCs w:val="24"/>
              </w:rPr>
              <w:t xml:space="preserve"> внедрения системы долговременного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ухода за гражданами пожилого возраста и</w:t>
            </w:r>
          </w:p>
          <w:p w:rsidR="00BA7B86" w:rsidRDefault="00181BF4">
            <w:pPr>
              <w:jc w:val="both"/>
            </w:pPr>
            <w:r>
              <w:rPr>
                <w:sz w:val="24"/>
                <w:szCs w:val="24"/>
              </w:rPr>
              <w:t>инвалидами, нуждающимися в уходе, в Брянской области», подписание соглашений с КЦСОН о реализации СДУ, перечень организаций социального обслуживания, утвержденный приказом департамента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57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организаторов ухода в организациях социального обслуживания – поставщиках социальных услуг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КЦСОН функционируют    24,25 штатных единиц заведующих отделением на дому (организаторов ухода)  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текущего финансирования</w:t>
            </w:r>
          </w:p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</w:tr>
      <w:tr w:rsidR="00BA7B86">
        <w:tc>
          <w:tcPr>
            <w:tcW w:w="852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7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помощников по уходу в организациях социального обслуживания – поставщиках социальных услуг</w:t>
            </w:r>
          </w:p>
        </w:tc>
        <w:tc>
          <w:tcPr>
            <w:tcW w:w="2274" w:type="dxa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</w:tcPr>
          <w:p w:rsidR="00BA7B86" w:rsidRDefault="00181B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трудоустроено в КЦСОН 561 помощник по уходу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поставщиками социальных услуг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193918,79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191979,6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1939,19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4.5.1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государственными поставщиками социальных услуг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193918,79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191979,6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1939,19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4.5.2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негосударственными поставщиками социальных услуг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000 человек, из них: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человек - 1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человек – 2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rPr>
          <w:trHeight w:val="180"/>
        </w:trPr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январе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 – 2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 – 3 уровня нуждаемости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19434,69</w:t>
            </w:r>
          </w:p>
        </w:tc>
      </w:tr>
      <w:tr w:rsidR="00BA7B86">
        <w:trPr>
          <w:trHeight w:val="1704"/>
        </w:trPr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феврале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/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 – 2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 – 3 уровня нуждаемости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марте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 – 2 уровня нуждаемости;</w:t>
            </w:r>
          </w:p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 – 3 уровня нуждаемости</w:t>
            </w:r>
          </w:p>
        </w:tc>
        <w:tc>
          <w:tcPr>
            <w:tcW w:w="1426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01.03.2024</w:t>
            </w:r>
          </w:p>
        </w:tc>
        <w:tc>
          <w:tcPr>
            <w:tcW w:w="1559" w:type="dxa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апреле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мае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/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июне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июле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/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</w:t>
            </w:r>
          </w:p>
          <w:p w:rsidR="00BA7B86" w:rsidRDefault="00181BF4">
            <w:r>
              <w:rPr>
                <w:sz w:val="24"/>
                <w:szCs w:val="24"/>
              </w:rPr>
              <w:t>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4.13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августе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4.14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сентябре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/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19631,00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19434,69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</w:rPr>
              <w:t>196,31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октябре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17239,79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4"/>
              </w:rPr>
              <w:t>17067,39</w:t>
            </w:r>
          </w:p>
          <w:p w:rsidR="00BA7B86" w:rsidRDefault="00BA7B86">
            <w:pPr>
              <w:jc w:val="center"/>
              <w:rPr>
                <w:rFonts w:eastAsia="Times New Roman"/>
                <w:sz w:val="24"/>
              </w:rPr>
            </w:pP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172,40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4.16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ноябре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/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</w:t>
            </w:r>
          </w:p>
        </w:tc>
        <w:tc>
          <w:tcPr>
            <w:tcW w:w="357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дому, в декабре 2024 года</w:t>
            </w:r>
          </w:p>
        </w:tc>
        <w:tc>
          <w:tcPr>
            <w:tcW w:w="2274" w:type="dxa"/>
            <w:vMerge w:val="restart"/>
          </w:tcPr>
          <w:p w:rsidR="00BA7B86" w:rsidRDefault="00181BF4">
            <w:r>
              <w:rPr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  <w:p w:rsidR="00BA7B86" w:rsidRDefault="00BA7B86"/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 w:val="restart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700 человек, из них:</w:t>
            </w:r>
          </w:p>
          <w:p w:rsidR="00BA7B86" w:rsidRDefault="00181BF4">
            <w:r>
              <w:rPr>
                <w:sz w:val="24"/>
                <w:szCs w:val="24"/>
              </w:rPr>
              <w:t>70 человек - 1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>350 человека – 2 уровня нуждаемости;</w:t>
            </w:r>
          </w:p>
          <w:p w:rsidR="00BA7B86" w:rsidRDefault="00181BF4">
            <w:r>
              <w:rPr>
                <w:sz w:val="24"/>
                <w:szCs w:val="24"/>
              </w:rPr>
              <w:t xml:space="preserve">280 человек – 3 уровня нуждаемости </w:t>
            </w:r>
          </w:p>
        </w:tc>
        <w:tc>
          <w:tcPr>
            <w:tcW w:w="1426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01.12.2024</w:t>
            </w:r>
          </w:p>
        </w:tc>
        <w:tc>
          <w:tcPr>
            <w:tcW w:w="1559" w:type="dxa"/>
            <w:vMerge w:val="restart"/>
          </w:tcPr>
          <w:p w:rsidR="00BA7B86" w:rsidRDefault="00181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t>-</w:t>
            </w:r>
          </w:p>
        </w:tc>
      </w:tr>
      <w:tr w:rsidR="00BA7B86">
        <w:tc>
          <w:tcPr>
            <w:tcW w:w="852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Merge/>
          </w:tcPr>
          <w:p w:rsidR="00BA7B86" w:rsidRDefault="00BA7B86">
            <w:pPr>
              <w:rPr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</w:pPr>
            <w:r>
              <w:t>-</w:t>
            </w:r>
          </w:p>
        </w:tc>
      </w:tr>
      <w:tr w:rsidR="00BA7B86">
        <w:tc>
          <w:tcPr>
            <w:tcW w:w="12515" w:type="dxa"/>
            <w:gridSpan w:val="6"/>
            <w:vMerge w:val="restart"/>
            <w:vAlign w:val="center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88" w:type="dxa"/>
          </w:tcPr>
          <w:p w:rsidR="00BA7B86" w:rsidRDefault="00181BF4">
            <w:pPr>
              <w:rPr>
                <w:sz w:val="24"/>
              </w:rPr>
            </w:pPr>
            <w:r>
              <w:rPr>
                <w:sz w:val="24"/>
              </w:rPr>
              <w:t>193918,79</w:t>
            </w:r>
          </w:p>
        </w:tc>
      </w:tr>
      <w:tr w:rsidR="00BA7B86">
        <w:tc>
          <w:tcPr>
            <w:tcW w:w="12515" w:type="dxa"/>
            <w:gridSpan w:val="6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8" w:type="dxa"/>
          </w:tcPr>
          <w:p w:rsidR="00BA7B86" w:rsidRDefault="00181BF4">
            <w:pPr>
              <w:rPr>
                <w:sz w:val="24"/>
              </w:rPr>
            </w:pPr>
            <w:r>
              <w:rPr>
                <w:sz w:val="24"/>
              </w:rPr>
              <w:t>191979,60</w:t>
            </w:r>
          </w:p>
        </w:tc>
      </w:tr>
      <w:tr w:rsidR="00BA7B86">
        <w:tc>
          <w:tcPr>
            <w:tcW w:w="12515" w:type="dxa"/>
            <w:gridSpan w:val="6"/>
            <w:vMerge/>
          </w:tcPr>
          <w:p w:rsidR="00BA7B86" w:rsidRDefault="00BA7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BA7B86" w:rsidRDefault="00181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1388" w:type="dxa"/>
          </w:tcPr>
          <w:p w:rsidR="00BA7B86" w:rsidRDefault="00181B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1939,19</w:t>
            </w:r>
          </w:p>
        </w:tc>
      </w:tr>
    </w:tbl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BA7B86">
      <w:pPr>
        <w:rPr>
          <w:sz w:val="28"/>
          <w:szCs w:val="28"/>
        </w:rPr>
      </w:pPr>
    </w:p>
    <w:p w:rsidR="00BA7B86" w:rsidRDefault="00181BF4">
      <w:pPr>
        <w:tabs>
          <w:tab w:val="left" w:pos="6548"/>
        </w:tabs>
        <w:rPr>
          <w:sz w:val="28"/>
          <w:szCs w:val="28"/>
        </w:rPr>
      </w:pPr>
      <w:r>
        <w:rPr>
          <w:rFonts w:eastAsiaTheme="majorEastAsia"/>
          <w:sz w:val="28"/>
        </w:rPr>
        <w:tab/>
      </w:r>
    </w:p>
    <w:sectPr w:rsidR="00BA7B86">
      <w:headerReference w:type="default" r:id="rId10"/>
      <w:footerReference w:type="first" r:id="rId11"/>
      <w:endnotePr>
        <w:numFmt w:val="decimal"/>
      </w:endnotePr>
      <w:pgSz w:w="16840" w:h="11907" w:orient="landscape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44" w:rsidRDefault="00867744">
      <w:r>
        <w:separator/>
      </w:r>
    </w:p>
  </w:endnote>
  <w:endnote w:type="continuationSeparator" w:id="0">
    <w:p w:rsidR="00867744" w:rsidRDefault="0086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434" w:rsidRDefault="00B37434">
    <w:pPr>
      <w:pStyle w:val="ab"/>
      <w:rPr>
        <w:sz w:val="16"/>
      </w:rPr>
    </w:pPr>
  </w:p>
  <w:p w:rsidR="00B37434" w:rsidRDefault="00B374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44" w:rsidRDefault="00867744">
      <w:r>
        <w:separator/>
      </w:r>
    </w:p>
  </w:footnote>
  <w:footnote w:type="continuationSeparator" w:id="0">
    <w:p w:rsidR="00867744" w:rsidRDefault="00867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40631"/>
      <w:docPartObj>
        <w:docPartGallery w:val="Page Numbers (Top of Page)"/>
        <w:docPartUnique/>
      </w:docPartObj>
    </w:sdtPr>
    <w:sdtEndPr/>
    <w:sdtContent>
      <w:p w:rsidR="00B37434" w:rsidRDefault="00B37434">
        <w:pPr>
          <w:pStyle w:val="af2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C1497B">
          <w:rPr>
            <w:noProof/>
            <w:sz w:val="28"/>
            <w:szCs w:val="28"/>
          </w:rPr>
          <w:t>19</w:t>
        </w:r>
        <w:r>
          <w:rPr>
            <w:sz w:val="28"/>
            <w:szCs w:val="28"/>
          </w:rPr>
          <w:fldChar w:fldCharType="end"/>
        </w:r>
      </w:p>
    </w:sdtContent>
  </w:sdt>
  <w:p w:rsidR="00B37434" w:rsidRDefault="00B3743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2F1"/>
    <w:multiLevelType w:val="hybridMultilevel"/>
    <w:tmpl w:val="B396FFDC"/>
    <w:lvl w:ilvl="0" w:tplc="29389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AB2B5D4">
      <w:start w:val="1"/>
      <w:numFmt w:val="lowerLetter"/>
      <w:lvlText w:val="%2."/>
      <w:lvlJc w:val="left"/>
      <w:pPr>
        <w:ind w:left="1800" w:hanging="360"/>
      </w:pPr>
    </w:lvl>
    <w:lvl w:ilvl="2" w:tplc="03507156">
      <w:start w:val="1"/>
      <w:numFmt w:val="lowerRoman"/>
      <w:lvlText w:val="%3."/>
      <w:lvlJc w:val="right"/>
      <w:pPr>
        <w:ind w:left="2520" w:hanging="180"/>
      </w:pPr>
    </w:lvl>
    <w:lvl w:ilvl="3" w:tplc="7B98FD36">
      <w:start w:val="1"/>
      <w:numFmt w:val="decimal"/>
      <w:lvlText w:val="%4."/>
      <w:lvlJc w:val="left"/>
      <w:pPr>
        <w:ind w:left="3240" w:hanging="360"/>
      </w:pPr>
    </w:lvl>
    <w:lvl w:ilvl="4" w:tplc="C8A04B4E">
      <w:start w:val="1"/>
      <w:numFmt w:val="lowerLetter"/>
      <w:lvlText w:val="%5."/>
      <w:lvlJc w:val="left"/>
      <w:pPr>
        <w:ind w:left="3960" w:hanging="360"/>
      </w:pPr>
    </w:lvl>
    <w:lvl w:ilvl="5" w:tplc="5262D182">
      <w:start w:val="1"/>
      <w:numFmt w:val="lowerRoman"/>
      <w:lvlText w:val="%6."/>
      <w:lvlJc w:val="right"/>
      <w:pPr>
        <w:ind w:left="4680" w:hanging="180"/>
      </w:pPr>
    </w:lvl>
    <w:lvl w:ilvl="6" w:tplc="174075E6">
      <w:start w:val="1"/>
      <w:numFmt w:val="decimal"/>
      <w:lvlText w:val="%7."/>
      <w:lvlJc w:val="left"/>
      <w:pPr>
        <w:ind w:left="5400" w:hanging="360"/>
      </w:pPr>
    </w:lvl>
    <w:lvl w:ilvl="7" w:tplc="7E46BA24">
      <w:start w:val="1"/>
      <w:numFmt w:val="lowerLetter"/>
      <w:lvlText w:val="%8."/>
      <w:lvlJc w:val="left"/>
      <w:pPr>
        <w:ind w:left="6120" w:hanging="360"/>
      </w:pPr>
    </w:lvl>
    <w:lvl w:ilvl="8" w:tplc="99D051C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B2244"/>
    <w:multiLevelType w:val="hybridMultilevel"/>
    <w:tmpl w:val="94EED53A"/>
    <w:lvl w:ilvl="0" w:tplc="CD945A72">
      <w:start w:val="1"/>
      <w:numFmt w:val="decimal"/>
      <w:lvlText w:val="%1."/>
      <w:lvlJc w:val="left"/>
      <w:pPr>
        <w:ind w:left="720" w:hanging="360"/>
      </w:pPr>
    </w:lvl>
    <w:lvl w:ilvl="1" w:tplc="290066BC">
      <w:start w:val="1"/>
      <w:numFmt w:val="lowerLetter"/>
      <w:lvlText w:val="%2."/>
      <w:lvlJc w:val="left"/>
      <w:pPr>
        <w:ind w:left="1440" w:hanging="360"/>
      </w:pPr>
    </w:lvl>
    <w:lvl w:ilvl="2" w:tplc="A1FE0762">
      <w:start w:val="1"/>
      <w:numFmt w:val="lowerRoman"/>
      <w:lvlText w:val="%3."/>
      <w:lvlJc w:val="right"/>
      <w:pPr>
        <w:ind w:left="2160" w:hanging="180"/>
      </w:pPr>
    </w:lvl>
    <w:lvl w:ilvl="3" w:tplc="B11E4518">
      <w:start w:val="1"/>
      <w:numFmt w:val="decimal"/>
      <w:lvlText w:val="%4."/>
      <w:lvlJc w:val="left"/>
      <w:pPr>
        <w:ind w:left="2880" w:hanging="360"/>
      </w:pPr>
    </w:lvl>
    <w:lvl w:ilvl="4" w:tplc="FE48AC44">
      <w:start w:val="1"/>
      <w:numFmt w:val="lowerLetter"/>
      <w:lvlText w:val="%5."/>
      <w:lvlJc w:val="left"/>
      <w:pPr>
        <w:ind w:left="3600" w:hanging="360"/>
      </w:pPr>
    </w:lvl>
    <w:lvl w:ilvl="5" w:tplc="58BED828">
      <w:start w:val="1"/>
      <w:numFmt w:val="lowerRoman"/>
      <w:lvlText w:val="%6."/>
      <w:lvlJc w:val="right"/>
      <w:pPr>
        <w:ind w:left="4320" w:hanging="180"/>
      </w:pPr>
    </w:lvl>
    <w:lvl w:ilvl="6" w:tplc="16D8DF6E">
      <w:start w:val="1"/>
      <w:numFmt w:val="decimal"/>
      <w:lvlText w:val="%7."/>
      <w:lvlJc w:val="left"/>
      <w:pPr>
        <w:ind w:left="5040" w:hanging="360"/>
      </w:pPr>
    </w:lvl>
    <w:lvl w:ilvl="7" w:tplc="1340F98C">
      <w:start w:val="1"/>
      <w:numFmt w:val="lowerLetter"/>
      <w:lvlText w:val="%8."/>
      <w:lvlJc w:val="left"/>
      <w:pPr>
        <w:ind w:left="5760" w:hanging="360"/>
      </w:pPr>
    </w:lvl>
    <w:lvl w:ilvl="8" w:tplc="327AE6A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94457"/>
    <w:multiLevelType w:val="hybridMultilevel"/>
    <w:tmpl w:val="FCBC5CFE"/>
    <w:lvl w:ilvl="0" w:tplc="E1A4E56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i w:val="0"/>
        <w:sz w:val="20"/>
      </w:rPr>
    </w:lvl>
    <w:lvl w:ilvl="1" w:tplc="59BA8DB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64442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E34DB2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002FC8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D8A70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F9045C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A7EF39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0140C7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10C3A31"/>
    <w:multiLevelType w:val="hybridMultilevel"/>
    <w:tmpl w:val="763C491C"/>
    <w:lvl w:ilvl="0" w:tplc="07A8173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BC1855C8">
      <w:start w:val="1"/>
      <w:numFmt w:val="lowerLetter"/>
      <w:lvlText w:val="%2."/>
      <w:lvlJc w:val="left"/>
      <w:pPr>
        <w:ind w:left="1140" w:hanging="360"/>
      </w:pPr>
    </w:lvl>
    <w:lvl w:ilvl="2" w:tplc="4E848CC6">
      <w:start w:val="1"/>
      <w:numFmt w:val="lowerRoman"/>
      <w:lvlText w:val="%3."/>
      <w:lvlJc w:val="right"/>
      <w:pPr>
        <w:ind w:left="1860" w:hanging="180"/>
      </w:pPr>
    </w:lvl>
    <w:lvl w:ilvl="3" w:tplc="1786B8DA">
      <w:start w:val="1"/>
      <w:numFmt w:val="decimal"/>
      <w:lvlText w:val="%4."/>
      <w:lvlJc w:val="left"/>
      <w:pPr>
        <w:ind w:left="2580" w:hanging="360"/>
      </w:pPr>
    </w:lvl>
    <w:lvl w:ilvl="4" w:tplc="2546305E">
      <w:start w:val="1"/>
      <w:numFmt w:val="lowerLetter"/>
      <w:lvlText w:val="%5."/>
      <w:lvlJc w:val="left"/>
      <w:pPr>
        <w:ind w:left="3300" w:hanging="360"/>
      </w:pPr>
    </w:lvl>
    <w:lvl w:ilvl="5" w:tplc="EB7220E8">
      <w:start w:val="1"/>
      <w:numFmt w:val="lowerRoman"/>
      <w:lvlText w:val="%6."/>
      <w:lvlJc w:val="right"/>
      <w:pPr>
        <w:ind w:left="4020" w:hanging="180"/>
      </w:pPr>
    </w:lvl>
    <w:lvl w:ilvl="6" w:tplc="AAA29664">
      <w:start w:val="1"/>
      <w:numFmt w:val="decimal"/>
      <w:lvlText w:val="%7."/>
      <w:lvlJc w:val="left"/>
      <w:pPr>
        <w:ind w:left="4740" w:hanging="360"/>
      </w:pPr>
    </w:lvl>
    <w:lvl w:ilvl="7" w:tplc="02F25D98">
      <w:start w:val="1"/>
      <w:numFmt w:val="lowerLetter"/>
      <w:lvlText w:val="%8."/>
      <w:lvlJc w:val="left"/>
      <w:pPr>
        <w:ind w:left="5460" w:hanging="360"/>
      </w:pPr>
    </w:lvl>
    <w:lvl w:ilvl="8" w:tplc="105A8894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E0858BD"/>
    <w:multiLevelType w:val="hybridMultilevel"/>
    <w:tmpl w:val="20C0C004"/>
    <w:lvl w:ilvl="0" w:tplc="D1065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ED492">
      <w:start w:val="1"/>
      <w:numFmt w:val="lowerLetter"/>
      <w:lvlText w:val="%2."/>
      <w:lvlJc w:val="left"/>
      <w:pPr>
        <w:ind w:left="1440" w:hanging="360"/>
      </w:pPr>
    </w:lvl>
    <w:lvl w:ilvl="2" w:tplc="793C58A8">
      <w:start w:val="1"/>
      <w:numFmt w:val="lowerRoman"/>
      <w:lvlText w:val="%3."/>
      <w:lvlJc w:val="right"/>
      <w:pPr>
        <w:ind w:left="2160" w:hanging="180"/>
      </w:pPr>
    </w:lvl>
    <w:lvl w:ilvl="3" w:tplc="BD02842E">
      <w:start w:val="1"/>
      <w:numFmt w:val="decimal"/>
      <w:lvlText w:val="%4."/>
      <w:lvlJc w:val="left"/>
      <w:pPr>
        <w:ind w:left="2880" w:hanging="360"/>
      </w:pPr>
    </w:lvl>
    <w:lvl w:ilvl="4" w:tplc="46E4FAAC">
      <w:start w:val="1"/>
      <w:numFmt w:val="lowerLetter"/>
      <w:lvlText w:val="%5."/>
      <w:lvlJc w:val="left"/>
      <w:pPr>
        <w:ind w:left="3600" w:hanging="360"/>
      </w:pPr>
    </w:lvl>
    <w:lvl w:ilvl="5" w:tplc="4638214A">
      <w:start w:val="1"/>
      <w:numFmt w:val="lowerRoman"/>
      <w:lvlText w:val="%6."/>
      <w:lvlJc w:val="right"/>
      <w:pPr>
        <w:ind w:left="4320" w:hanging="180"/>
      </w:pPr>
    </w:lvl>
    <w:lvl w:ilvl="6" w:tplc="847E3C52">
      <w:start w:val="1"/>
      <w:numFmt w:val="decimal"/>
      <w:lvlText w:val="%7."/>
      <w:lvlJc w:val="left"/>
      <w:pPr>
        <w:ind w:left="5040" w:hanging="360"/>
      </w:pPr>
    </w:lvl>
    <w:lvl w:ilvl="7" w:tplc="A5927742">
      <w:start w:val="1"/>
      <w:numFmt w:val="lowerLetter"/>
      <w:lvlText w:val="%8."/>
      <w:lvlJc w:val="left"/>
      <w:pPr>
        <w:ind w:left="5760" w:hanging="360"/>
      </w:pPr>
    </w:lvl>
    <w:lvl w:ilvl="8" w:tplc="91863E7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F213A"/>
    <w:multiLevelType w:val="hybridMultilevel"/>
    <w:tmpl w:val="EE667014"/>
    <w:lvl w:ilvl="0" w:tplc="290616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024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614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3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A2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66D9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A2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C0D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89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0040E"/>
    <w:multiLevelType w:val="hybridMultilevel"/>
    <w:tmpl w:val="7C461DB8"/>
    <w:lvl w:ilvl="0" w:tplc="A386B5CE">
      <w:start w:val="1"/>
      <w:numFmt w:val="decimal"/>
      <w:lvlText w:val="%1."/>
      <w:lvlJc w:val="left"/>
      <w:pPr>
        <w:ind w:left="644" w:hanging="360"/>
      </w:pPr>
    </w:lvl>
    <w:lvl w:ilvl="1" w:tplc="0D84C724">
      <w:start w:val="1"/>
      <w:numFmt w:val="lowerLetter"/>
      <w:lvlText w:val="%2."/>
      <w:lvlJc w:val="left"/>
      <w:pPr>
        <w:ind w:left="1364" w:hanging="360"/>
      </w:pPr>
    </w:lvl>
    <w:lvl w:ilvl="2" w:tplc="513824A4">
      <w:start w:val="1"/>
      <w:numFmt w:val="lowerRoman"/>
      <w:lvlText w:val="%3."/>
      <w:lvlJc w:val="right"/>
      <w:pPr>
        <w:ind w:left="2084" w:hanging="180"/>
      </w:pPr>
    </w:lvl>
    <w:lvl w:ilvl="3" w:tplc="14DA77EE">
      <w:start w:val="1"/>
      <w:numFmt w:val="decimal"/>
      <w:lvlText w:val="%4."/>
      <w:lvlJc w:val="left"/>
      <w:pPr>
        <w:ind w:left="2804" w:hanging="360"/>
      </w:pPr>
    </w:lvl>
    <w:lvl w:ilvl="4" w:tplc="73C857A2">
      <w:start w:val="1"/>
      <w:numFmt w:val="lowerLetter"/>
      <w:lvlText w:val="%5."/>
      <w:lvlJc w:val="left"/>
      <w:pPr>
        <w:ind w:left="3524" w:hanging="360"/>
      </w:pPr>
    </w:lvl>
    <w:lvl w:ilvl="5" w:tplc="45C03810">
      <w:start w:val="1"/>
      <w:numFmt w:val="lowerRoman"/>
      <w:lvlText w:val="%6."/>
      <w:lvlJc w:val="right"/>
      <w:pPr>
        <w:ind w:left="4244" w:hanging="180"/>
      </w:pPr>
    </w:lvl>
    <w:lvl w:ilvl="6" w:tplc="2C02C1A2">
      <w:start w:val="1"/>
      <w:numFmt w:val="decimal"/>
      <w:lvlText w:val="%7."/>
      <w:lvlJc w:val="left"/>
      <w:pPr>
        <w:ind w:left="4964" w:hanging="360"/>
      </w:pPr>
    </w:lvl>
    <w:lvl w:ilvl="7" w:tplc="ED7670E8">
      <w:start w:val="1"/>
      <w:numFmt w:val="lowerLetter"/>
      <w:lvlText w:val="%8."/>
      <w:lvlJc w:val="left"/>
      <w:pPr>
        <w:ind w:left="5684" w:hanging="360"/>
      </w:pPr>
    </w:lvl>
    <w:lvl w:ilvl="8" w:tplc="096234E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56D4882"/>
    <w:multiLevelType w:val="hybridMultilevel"/>
    <w:tmpl w:val="D8D4E724"/>
    <w:lvl w:ilvl="0" w:tplc="F15AC1E2">
      <w:start w:val="1"/>
      <w:numFmt w:val="decimal"/>
      <w:lvlText w:val="%1."/>
      <w:lvlJc w:val="left"/>
      <w:pPr>
        <w:ind w:left="644" w:hanging="360"/>
      </w:pPr>
    </w:lvl>
    <w:lvl w:ilvl="1" w:tplc="8FCAC990">
      <w:start w:val="1"/>
      <w:numFmt w:val="lowerLetter"/>
      <w:lvlText w:val="%2."/>
      <w:lvlJc w:val="left"/>
      <w:pPr>
        <w:ind w:left="1364" w:hanging="360"/>
      </w:pPr>
    </w:lvl>
    <w:lvl w:ilvl="2" w:tplc="50F643B4">
      <w:start w:val="1"/>
      <w:numFmt w:val="lowerRoman"/>
      <w:lvlText w:val="%3."/>
      <w:lvlJc w:val="right"/>
      <w:pPr>
        <w:ind w:left="2084" w:hanging="180"/>
      </w:pPr>
    </w:lvl>
    <w:lvl w:ilvl="3" w:tplc="CE16D840">
      <w:start w:val="1"/>
      <w:numFmt w:val="decimal"/>
      <w:lvlText w:val="%4."/>
      <w:lvlJc w:val="left"/>
      <w:pPr>
        <w:ind w:left="2804" w:hanging="360"/>
      </w:pPr>
    </w:lvl>
    <w:lvl w:ilvl="4" w:tplc="8EE8BEDE">
      <w:start w:val="1"/>
      <w:numFmt w:val="lowerLetter"/>
      <w:lvlText w:val="%5."/>
      <w:lvlJc w:val="left"/>
      <w:pPr>
        <w:ind w:left="3524" w:hanging="360"/>
      </w:pPr>
    </w:lvl>
    <w:lvl w:ilvl="5" w:tplc="E620E8BA">
      <w:start w:val="1"/>
      <w:numFmt w:val="lowerRoman"/>
      <w:lvlText w:val="%6."/>
      <w:lvlJc w:val="right"/>
      <w:pPr>
        <w:ind w:left="4244" w:hanging="180"/>
      </w:pPr>
    </w:lvl>
    <w:lvl w:ilvl="6" w:tplc="BB4CE62C">
      <w:start w:val="1"/>
      <w:numFmt w:val="decimal"/>
      <w:lvlText w:val="%7."/>
      <w:lvlJc w:val="left"/>
      <w:pPr>
        <w:ind w:left="4964" w:hanging="360"/>
      </w:pPr>
    </w:lvl>
    <w:lvl w:ilvl="7" w:tplc="A3A45A86">
      <w:start w:val="1"/>
      <w:numFmt w:val="lowerLetter"/>
      <w:lvlText w:val="%8."/>
      <w:lvlJc w:val="left"/>
      <w:pPr>
        <w:ind w:left="5684" w:hanging="360"/>
      </w:pPr>
    </w:lvl>
    <w:lvl w:ilvl="8" w:tplc="4F4C8AE2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9E0411"/>
    <w:multiLevelType w:val="hybridMultilevel"/>
    <w:tmpl w:val="5A76FC24"/>
    <w:lvl w:ilvl="0" w:tplc="984AE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28E50A">
      <w:start w:val="1"/>
      <w:numFmt w:val="lowerLetter"/>
      <w:lvlText w:val="%2."/>
      <w:lvlJc w:val="left"/>
      <w:pPr>
        <w:ind w:left="1080" w:hanging="360"/>
      </w:pPr>
    </w:lvl>
    <w:lvl w:ilvl="2" w:tplc="7086267C">
      <w:start w:val="1"/>
      <w:numFmt w:val="lowerRoman"/>
      <w:lvlText w:val="%3."/>
      <w:lvlJc w:val="right"/>
      <w:pPr>
        <w:ind w:left="1800" w:hanging="180"/>
      </w:pPr>
    </w:lvl>
    <w:lvl w:ilvl="3" w:tplc="D2BAB40A">
      <w:start w:val="1"/>
      <w:numFmt w:val="decimal"/>
      <w:lvlText w:val="%4."/>
      <w:lvlJc w:val="left"/>
      <w:pPr>
        <w:ind w:left="2520" w:hanging="360"/>
      </w:pPr>
    </w:lvl>
    <w:lvl w:ilvl="4" w:tplc="539C0D5C">
      <w:start w:val="1"/>
      <w:numFmt w:val="lowerLetter"/>
      <w:lvlText w:val="%5."/>
      <w:lvlJc w:val="left"/>
      <w:pPr>
        <w:ind w:left="3240" w:hanging="360"/>
      </w:pPr>
    </w:lvl>
    <w:lvl w:ilvl="5" w:tplc="07188A3A">
      <w:start w:val="1"/>
      <w:numFmt w:val="lowerRoman"/>
      <w:lvlText w:val="%6."/>
      <w:lvlJc w:val="right"/>
      <w:pPr>
        <w:ind w:left="3960" w:hanging="180"/>
      </w:pPr>
    </w:lvl>
    <w:lvl w:ilvl="6" w:tplc="6DF85F1A">
      <w:start w:val="1"/>
      <w:numFmt w:val="decimal"/>
      <w:lvlText w:val="%7."/>
      <w:lvlJc w:val="left"/>
      <w:pPr>
        <w:ind w:left="4680" w:hanging="360"/>
      </w:pPr>
    </w:lvl>
    <w:lvl w:ilvl="7" w:tplc="BD864308">
      <w:start w:val="1"/>
      <w:numFmt w:val="lowerLetter"/>
      <w:lvlText w:val="%8."/>
      <w:lvlJc w:val="left"/>
      <w:pPr>
        <w:ind w:left="5400" w:hanging="360"/>
      </w:pPr>
    </w:lvl>
    <w:lvl w:ilvl="8" w:tplc="03CCF964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9B383B"/>
    <w:multiLevelType w:val="hybridMultilevel"/>
    <w:tmpl w:val="DD3ABC2E"/>
    <w:lvl w:ilvl="0" w:tplc="E222CA6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803635D4">
      <w:start w:val="1"/>
      <w:numFmt w:val="lowerLetter"/>
      <w:lvlText w:val="%2."/>
      <w:lvlJc w:val="left"/>
      <w:pPr>
        <w:ind w:left="1440" w:hanging="360"/>
      </w:pPr>
    </w:lvl>
    <w:lvl w:ilvl="2" w:tplc="74488CA6">
      <w:start w:val="1"/>
      <w:numFmt w:val="lowerRoman"/>
      <w:lvlText w:val="%3."/>
      <w:lvlJc w:val="right"/>
      <w:pPr>
        <w:ind w:left="2160" w:hanging="180"/>
      </w:pPr>
    </w:lvl>
    <w:lvl w:ilvl="3" w:tplc="3266E670">
      <w:start w:val="1"/>
      <w:numFmt w:val="decimal"/>
      <w:lvlText w:val="%4."/>
      <w:lvlJc w:val="left"/>
      <w:pPr>
        <w:ind w:left="2880" w:hanging="360"/>
      </w:pPr>
    </w:lvl>
    <w:lvl w:ilvl="4" w:tplc="E1AE5C4C">
      <w:start w:val="1"/>
      <w:numFmt w:val="lowerLetter"/>
      <w:lvlText w:val="%5."/>
      <w:lvlJc w:val="left"/>
      <w:pPr>
        <w:ind w:left="3600" w:hanging="360"/>
      </w:pPr>
    </w:lvl>
    <w:lvl w:ilvl="5" w:tplc="66A8B478">
      <w:start w:val="1"/>
      <w:numFmt w:val="lowerRoman"/>
      <w:lvlText w:val="%6."/>
      <w:lvlJc w:val="right"/>
      <w:pPr>
        <w:ind w:left="4320" w:hanging="180"/>
      </w:pPr>
    </w:lvl>
    <w:lvl w:ilvl="6" w:tplc="06A2D87C">
      <w:start w:val="1"/>
      <w:numFmt w:val="decimal"/>
      <w:lvlText w:val="%7."/>
      <w:lvlJc w:val="left"/>
      <w:pPr>
        <w:ind w:left="5040" w:hanging="360"/>
      </w:pPr>
    </w:lvl>
    <w:lvl w:ilvl="7" w:tplc="BDE80CEA">
      <w:start w:val="1"/>
      <w:numFmt w:val="lowerLetter"/>
      <w:lvlText w:val="%8."/>
      <w:lvlJc w:val="left"/>
      <w:pPr>
        <w:ind w:left="5760" w:hanging="360"/>
      </w:pPr>
    </w:lvl>
    <w:lvl w:ilvl="8" w:tplc="CA9077A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93E23"/>
    <w:multiLevelType w:val="hybridMultilevel"/>
    <w:tmpl w:val="052019E2"/>
    <w:lvl w:ilvl="0" w:tplc="56EAB2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9CED380">
      <w:start w:val="1"/>
      <w:numFmt w:val="lowerLetter"/>
      <w:lvlText w:val="%2."/>
      <w:lvlJc w:val="left"/>
      <w:pPr>
        <w:ind w:left="1788" w:hanging="360"/>
      </w:pPr>
    </w:lvl>
    <w:lvl w:ilvl="2" w:tplc="75F0D75C">
      <w:start w:val="1"/>
      <w:numFmt w:val="lowerRoman"/>
      <w:lvlText w:val="%3."/>
      <w:lvlJc w:val="right"/>
      <w:pPr>
        <w:ind w:left="2508" w:hanging="180"/>
      </w:pPr>
    </w:lvl>
    <w:lvl w:ilvl="3" w:tplc="87323140">
      <w:start w:val="1"/>
      <w:numFmt w:val="decimal"/>
      <w:lvlText w:val="%4."/>
      <w:lvlJc w:val="left"/>
      <w:pPr>
        <w:ind w:left="3228" w:hanging="360"/>
      </w:pPr>
    </w:lvl>
    <w:lvl w:ilvl="4" w:tplc="BD3061AA">
      <w:start w:val="1"/>
      <w:numFmt w:val="lowerLetter"/>
      <w:lvlText w:val="%5."/>
      <w:lvlJc w:val="left"/>
      <w:pPr>
        <w:ind w:left="3948" w:hanging="360"/>
      </w:pPr>
    </w:lvl>
    <w:lvl w:ilvl="5" w:tplc="228A84CE">
      <w:start w:val="1"/>
      <w:numFmt w:val="lowerRoman"/>
      <w:lvlText w:val="%6."/>
      <w:lvlJc w:val="right"/>
      <w:pPr>
        <w:ind w:left="4668" w:hanging="180"/>
      </w:pPr>
    </w:lvl>
    <w:lvl w:ilvl="6" w:tplc="35EE561C">
      <w:start w:val="1"/>
      <w:numFmt w:val="decimal"/>
      <w:lvlText w:val="%7."/>
      <w:lvlJc w:val="left"/>
      <w:pPr>
        <w:ind w:left="5388" w:hanging="360"/>
      </w:pPr>
    </w:lvl>
    <w:lvl w:ilvl="7" w:tplc="F6B89AAE">
      <w:start w:val="1"/>
      <w:numFmt w:val="lowerLetter"/>
      <w:lvlText w:val="%8."/>
      <w:lvlJc w:val="left"/>
      <w:pPr>
        <w:ind w:left="6108" w:hanging="360"/>
      </w:pPr>
    </w:lvl>
    <w:lvl w:ilvl="8" w:tplc="797E4BC2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39822F5"/>
    <w:multiLevelType w:val="hybridMultilevel"/>
    <w:tmpl w:val="A0A8C33C"/>
    <w:lvl w:ilvl="0" w:tplc="6736DEA8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9134DD72">
      <w:start w:val="1"/>
      <w:numFmt w:val="lowerLetter"/>
      <w:lvlText w:val="%2."/>
      <w:lvlJc w:val="left"/>
      <w:pPr>
        <w:ind w:left="1125" w:hanging="360"/>
      </w:pPr>
    </w:lvl>
    <w:lvl w:ilvl="2" w:tplc="E208DD08">
      <w:start w:val="1"/>
      <w:numFmt w:val="lowerRoman"/>
      <w:lvlText w:val="%3."/>
      <w:lvlJc w:val="right"/>
      <w:pPr>
        <w:ind w:left="1845" w:hanging="180"/>
      </w:pPr>
    </w:lvl>
    <w:lvl w:ilvl="3" w:tplc="F61A0E2A">
      <w:start w:val="1"/>
      <w:numFmt w:val="decimal"/>
      <w:lvlText w:val="%4."/>
      <w:lvlJc w:val="left"/>
      <w:pPr>
        <w:ind w:left="2565" w:hanging="360"/>
      </w:pPr>
    </w:lvl>
    <w:lvl w:ilvl="4" w:tplc="BD4E0E10">
      <w:start w:val="1"/>
      <w:numFmt w:val="lowerLetter"/>
      <w:lvlText w:val="%5."/>
      <w:lvlJc w:val="left"/>
      <w:pPr>
        <w:ind w:left="3285" w:hanging="360"/>
      </w:pPr>
    </w:lvl>
    <w:lvl w:ilvl="5" w:tplc="E0548D66">
      <w:start w:val="1"/>
      <w:numFmt w:val="lowerRoman"/>
      <w:lvlText w:val="%6."/>
      <w:lvlJc w:val="right"/>
      <w:pPr>
        <w:ind w:left="4005" w:hanging="180"/>
      </w:pPr>
    </w:lvl>
    <w:lvl w:ilvl="6" w:tplc="08841042">
      <w:start w:val="1"/>
      <w:numFmt w:val="decimal"/>
      <w:lvlText w:val="%7."/>
      <w:lvlJc w:val="left"/>
      <w:pPr>
        <w:ind w:left="4725" w:hanging="360"/>
      </w:pPr>
    </w:lvl>
    <w:lvl w:ilvl="7" w:tplc="163C784E">
      <w:start w:val="1"/>
      <w:numFmt w:val="lowerLetter"/>
      <w:lvlText w:val="%8."/>
      <w:lvlJc w:val="left"/>
      <w:pPr>
        <w:ind w:left="5445" w:hanging="360"/>
      </w:pPr>
    </w:lvl>
    <w:lvl w:ilvl="8" w:tplc="C79408D4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A340D46"/>
    <w:multiLevelType w:val="hybridMultilevel"/>
    <w:tmpl w:val="B5C60130"/>
    <w:lvl w:ilvl="0" w:tplc="01C2D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A06210">
      <w:start w:val="1"/>
      <w:numFmt w:val="lowerLetter"/>
      <w:lvlText w:val="%2."/>
      <w:lvlJc w:val="left"/>
      <w:pPr>
        <w:ind w:left="1440" w:hanging="360"/>
      </w:pPr>
    </w:lvl>
    <w:lvl w:ilvl="2" w:tplc="5BA8C98E">
      <w:start w:val="1"/>
      <w:numFmt w:val="lowerRoman"/>
      <w:lvlText w:val="%3."/>
      <w:lvlJc w:val="right"/>
      <w:pPr>
        <w:ind w:left="2160" w:hanging="180"/>
      </w:pPr>
    </w:lvl>
    <w:lvl w:ilvl="3" w:tplc="F9222802">
      <w:start w:val="1"/>
      <w:numFmt w:val="decimal"/>
      <w:lvlText w:val="%4."/>
      <w:lvlJc w:val="left"/>
      <w:pPr>
        <w:ind w:left="2880" w:hanging="360"/>
      </w:pPr>
    </w:lvl>
    <w:lvl w:ilvl="4" w:tplc="2A58D782">
      <w:start w:val="1"/>
      <w:numFmt w:val="lowerLetter"/>
      <w:lvlText w:val="%5."/>
      <w:lvlJc w:val="left"/>
      <w:pPr>
        <w:ind w:left="3600" w:hanging="360"/>
      </w:pPr>
    </w:lvl>
    <w:lvl w:ilvl="5" w:tplc="363C2732">
      <w:start w:val="1"/>
      <w:numFmt w:val="lowerRoman"/>
      <w:lvlText w:val="%6."/>
      <w:lvlJc w:val="right"/>
      <w:pPr>
        <w:ind w:left="4320" w:hanging="180"/>
      </w:pPr>
    </w:lvl>
    <w:lvl w:ilvl="6" w:tplc="FA400612">
      <w:start w:val="1"/>
      <w:numFmt w:val="decimal"/>
      <w:lvlText w:val="%7."/>
      <w:lvlJc w:val="left"/>
      <w:pPr>
        <w:ind w:left="5040" w:hanging="360"/>
      </w:pPr>
    </w:lvl>
    <w:lvl w:ilvl="7" w:tplc="1D7ECCCC">
      <w:start w:val="1"/>
      <w:numFmt w:val="lowerLetter"/>
      <w:lvlText w:val="%8."/>
      <w:lvlJc w:val="left"/>
      <w:pPr>
        <w:ind w:left="5760" w:hanging="360"/>
      </w:pPr>
    </w:lvl>
    <w:lvl w:ilvl="8" w:tplc="2B522CE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044C7"/>
    <w:multiLevelType w:val="hybridMultilevel"/>
    <w:tmpl w:val="ACA00E00"/>
    <w:lvl w:ilvl="0" w:tplc="6C14CC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2FA2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884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43C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44F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C7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2D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8EA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D2C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CB5E4F"/>
    <w:multiLevelType w:val="hybridMultilevel"/>
    <w:tmpl w:val="99E0CFE8"/>
    <w:lvl w:ilvl="0" w:tplc="6FA80F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7AEE26">
      <w:start w:val="1"/>
      <w:numFmt w:val="lowerLetter"/>
      <w:lvlText w:val="%2."/>
      <w:lvlJc w:val="left"/>
      <w:pPr>
        <w:ind w:left="1440" w:hanging="360"/>
      </w:pPr>
    </w:lvl>
    <w:lvl w:ilvl="2" w:tplc="C38EC0F4">
      <w:start w:val="1"/>
      <w:numFmt w:val="lowerRoman"/>
      <w:lvlText w:val="%3."/>
      <w:lvlJc w:val="right"/>
      <w:pPr>
        <w:ind w:left="2160" w:hanging="180"/>
      </w:pPr>
    </w:lvl>
    <w:lvl w:ilvl="3" w:tplc="FA009BEC">
      <w:start w:val="1"/>
      <w:numFmt w:val="decimal"/>
      <w:lvlText w:val="%4."/>
      <w:lvlJc w:val="left"/>
      <w:pPr>
        <w:ind w:left="2880" w:hanging="360"/>
      </w:pPr>
    </w:lvl>
    <w:lvl w:ilvl="4" w:tplc="33AA6F6E">
      <w:start w:val="1"/>
      <w:numFmt w:val="lowerLetter"/>
      <w:lvlText w:val="%5."/>
      <w:lvlJc w:val="left"/>
      <w:pPr>
        <w:ind w:left="3600" w:hanging="360"/>
      </w:pPr>
    </w:lvl>
    <w:lvl w:ilvl="5" w:tplc="608EBD64">
      <w:start w:val="1"/>
      <w:numFmt w:val="lowerRoman"/>
      <w:lvlText w:val="%6."/>
      <w:lvlJc w:val="right"/>
      <w:pPr>
        <w:ind w:left="4320" w:hanging="180"/>
      </w:pPr>
    </w:lvl>
    <w:lvl w:ilvl="6" w:tplc="2E3051FA">
      <w:start w:val="1"/>
      <w:numFmt w:val="decimal"/>
      <w:lvlText w:val="%7."/>
      <w:lvlJc w:val="left"/>
      <w:pPr>
        <w:ind w:left="5040" w:hanging="360"/>
      </w:pPr>
    </w:lvl>
    <w:lvl w:ilvl="7" w:tplc="3D94DDCE">
      <w:start w:val="1"/>
      <w:numFmt w:val="lowerLetter"/>
      <w:lvlText w:val="%8."/>
      <w:lvlJc w:val="left"/>
      <w:pPr>
        <w:ind w:left="5760" w:hanging="360"/>
      </w:pPr>
    </w:lvl>
    <w:lvl w:ilvl="8" w:tplc="D8A261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11"/>
  </w:num>
  <w:num w:numId="7">
    <w:abstractNumId w:val="13"/>
  </w:num>
  <w:num w:numId="8">
    <w:abstractNumId w:val="4"/>
  </w:num>
  <w:num w:numId="9">
    <w:abstractNumId w:val="3"/>
  </w:num>
  <w:num w:numId="10">
    <w:abstractNumId w:val="9"/>
  </w:num>
  <w:num w:numId="11">
    <w:abstractNumId w:val="12"/>
  </w:num>
  <w:num w:numId="12">
    <w:abstractNumId w:val="5"/>
  </w:num>
  <w:num w:numId="13">
    <w:abstractNumId w:val="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86"/>
    <w:rsid w:val="00181BF4"/>
    <w:rsid w:val="004A5FF5"/>
    <w:rsid w:val="004A6CF0"/>
    <w:rsid w:val="00867744"/>
    <w:rsid w:val="00B37434"/>
    <w:rsid w:val="00BA7B86"/>
    <w:rsid w:val="00C1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2074935-67B3-41CD-BC35-153ED247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Полякова Ирина Михайловна</cp:lastModifiedBy>
  <cp:revision>22</cp:revision>
  <cp:lastPrinted>2023-12-26T05:59:00Z</cp:lastPrinted>
  <dcterms:created xsi:type="dcterms:W3CDTF">2023-11-20T12:10:00Z</dcterms:created>
  <dcterms:modified xsi:type="dcterms:W3CDTF">2023-12-26T06:00:00Z</dcterms:modified>
</cp:coreProperties>
</file>