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A0D" w:rsidRDefault="00C56A0D" w:rsidP="00C56A0D">
      <w:pPr>
        <w:tabs>
          <w:tab w:val="left" w:pos="9498"/>
        </w:tabs>
        <w:ind w:left="765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Приложение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C56A0D" w:rsidRDefault="00C56A0D" w:rsidP="00C56A0D">
      <w:pPr>
        <w:tabs>
          <w:tab w:val="left" w:pos="9498"/>
        </w:tabs>
        <w:ind w:left="765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>«дорожной карте» по повышению производительности</w:t>
      </w:r>
    </w:p>
    <w:p w:rsidR="00C56A0D" w:rsidRDefault="00C56A0D" w:rsidP="00032B6D">
      <w:pPr>
        <w:tabs>
          <w:tab w:val="left" w:pos="9498"/>
        </w:tabs>
        <w:ind w:left="765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труда в</w:t>
      </w:r>
      <w:r w:rsidR="00032B6D">
        <w:rPr>
          <w:rFonts w:ascii="Times New Roman" w:eastAsia="Calibri" w:hAnsi="Times New Roman" w:cs="Times New Roman"/>
          <w:sz w:val="28"/>
          <w:szCs w:val="28"/>
        </w:rPr>
        <w:t xml:space="preserve"> сфере социального обслуживания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(социальной защиты) Брянской области</w:t>
      </w:r>
    </w:p>
    <w:p w:rsidR="005C626B" w:rsidRPr="00C56A0D" w:rsidRDefault="005C626B" w:rsidP="00C56A0D">
      <w:pPr>
        <w:tabs>
          <w:tab w:val="left" w:pos="949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56A0D" w:rsidRPr="00C56A0D" w:rsidRDefault="00C56A0D" w:rsidP="00C56A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626B" w:rsidRPr="00C56A0D" w:rsidRDefault="005C626B" w:rsidP="00C56A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56A0D" w:rsidRPr="00C56A0D" w:rsidRDefault="00C56A0D" w:rsidP="00C56A0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56A0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МЕРОПРИЯТИЯ</w:t>
      </w:r>
    </w:p>
    <w:p w:rsidR="005C626B" w:rsidRPr="00C56A0D" w:rsidRDefault="00C56A0D" w:rsidP="00C56A0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56A0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5D56D7" w:rsidRPr="00C56A0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дорожной карты</w:t>
      </w:r>
      <w:r w:rsidRPr="00C56A0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5D56D7" w:rsidRPr="00C56A0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 повышению производительности труда в сфере социального обслуживания (социальной защиты) Брянской области</w:t>
      </w:r>
    </w:p>
    <w:p w:rsidR="005C626B" w:rsidRPr="00C56A0D" w:rsidRDefault="005C626B" w:rsidP="00C56A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0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43"/>
        <w:gridCol w:w="1984"/>
        <w:gridCol w:w="1985"/>
        <w:gridCol w:w="1558"/>
        <w:gridCol w:w="1277"/>
        <w:gridCol w:w="1384"/>
        <w:gridCol w:w="851"/>
        <w:gridCol w:w="850"/>
        <w:gridCol w:w="851"/>
        <w:gridCol w:w="850"/>
        <w:gridCol w:w="851"/>
      </w:tblGrid>
      <w:tr w:rsidR="005C626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№</w:t>
            </w:r>
          </w:p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>/п</w:t>
            </w:r>
          </w:p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Наименование</w:t>
            </w:r>
          </w:p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</w:t>
            </w:r>
          </w:p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Ответственные</w:t>
            </w:r>
          </w:p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исполнители</w:t>
            </w:r>
          </w:p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Ожидаемые результаты</w:t>
            </w:r>
          </w:p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Срок начала реализации</w:t>
            </w:r>
          </w:p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Срок окончания</w:t>
            </w:r>
          </w:p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реализации</w:t>
            </w:r>
          </w:p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НПА,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регулирующий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реализацию мероприятия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Объем финансирования в разбивке по источникам, тыс. руб. </w:t>
            </w:r>
          </w:p>
        </w:tc>
      </w:tr>
      <w:tr w:rsidR="005C626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2026</w:t>
            </w:r>
            <w:r>
              <w:rPr>
                <w:rFonts w:ascii="Times New Roman" w:eastAsia="Calibri" w:hAnsi="Times New Roman" w:cs="Times New Roman"/>
                <w:lang w:eastAsia="ru-RU"/>
              </w:rPr>
              <w:br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2027</w:t>
            </w:r>
            <w:r>
              <w:rPr>
                <w:rFonts w:ascii="Times New Roman" w:eastAsia="Calibri" w:hAnsi="Times New Roman" w:cs="Times New Roman"/>
                <w:lang w:eastAsia="ru-RU"/>
              </w:rPr>
              <w:br/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2028</w:t>
            </w:r>
            <w:r>
              <w:rPr>
                <w:rFonts w:ascii="Times New Roman" w:eastAsia="Calibri" w:hAnsi="Times New Roman" w:cs="Times New Roman"/>
                <w:lang w:eastAsia="ru-RU"/>
              </w:rPr>
              <w:br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2029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2030</w:t>
            </w:r>
            <w:r>
              <w:rPr>
                <w:rFonts w:ascii="Times New Roman" w:eastAsia="Calibri" w:hAnsi="Times New Roman" w:cs="Times New Roman"/>
                <w:lang w:eastAsia="ru-RU"/>
              </w:rPr>
              <w:br/>
              <w:t>год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12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numPr>
                <w:ilvl w:val="0"/>
                <w:numId w:val="26"/>
              </w:numPr>
              <w:spacing w:after="0" w:line="259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Оптимизация сети организаций социального обслуживания (социальной защиты)</w:t>
            </w:r>
          </w:p>
        </w:tc>
      </w:tr>
      <w:tr w:rsidR="005C626B">
        <w:trPr>
          <w:trHeight w:val="194"/>
        </w:trPr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введенные с начала действия региональной дорожной карты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bookmarkStart w:id="1" w:name="sub_2011"/>
            <w:r>
              <w:rPr>
                <w:rFonts w:ascii="Times New Roman" w:eastAsia="Calibri" w:hAnsi="Times New Roman" w:cs="Times New Roman"/>
                <w:lang w:eastAsia="ru-RU"/>
              </w:rPr>
              <w:t>1.1.</w:t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Реорганизация сети учреждений социальной защиты населения путем присоединения с учетом сохранения доступности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услуг в части создания точек присутствия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реорганизация путем присоединения. Сокращение 4 учреждений малой мощности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</w:t>
            </w:r>
            <w:r>
              <w:rPr>
                <w:rFonts w:ascii="Times New Roman" w:eastAsia="Calibri" w:hAnsi="Times New Roman" w:cs="Times New Roman"/>
                <w:lang w:val="en-US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приказ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 рамках текущего финансирования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Реорганизация сети  комплексных центров социального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обслуживания населения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реорганизация путем присоединения 6 учреждений малой мощности, сокращение сети учреждений до 23 юридических лиц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рамках текущего финансирования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Реорганизация сети домов социального обслуживания путем укрупнения организаций за счет присоединения юридических лиц малой мощности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реорганизация сети домов социального обслуживания путем укрупнения организаций за счет присоединения 2 юридических лиц малой мощности и 3 отделений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рамках текущего финансирования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Реорганизация сети стационарных социальных учреждений для детей, находящихся в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объединение 5 стационарных учреждений для несовершеннолетних  путем присоединения к 1 юридическому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лицу</w:t>
            </w: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01.01.2028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рамках текущего финансиров</w:t>
            </w:r>
            <w:r>
              <w:rPr>
                <w:rFonts w:ascii="Times New Roman" w:eastAsia="Calibri" w:hAnsi="Times New Roman" w:cs="Times New Roman"/>
              </w:rPr>
              <w:lastRenderedPageBreak/>
              <w:t>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1.5.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Реорганизация комплексного центра социальной адаптации для лиц без определенного места жительства и занятий в г.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присоединение центра в г.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Клинцы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к центру г. Брянск, расширение участия в предоставлении социальных услуг, гражданам, находящимся в трудной жизненной ситуации, негосударственными  поставщиками социальных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0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Итого финансовые затраты на реализацию раздела 1 «Оптимизация сети организаций социального обслуживания (социальной защиты)» комплекса мероприятий региональной дорожной карты по повышению производительности труда в сфере социального обслуживания (социальной защиты)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numPr>
                <w:ilvl w:val="0"/>
                <w:numId w:val="26"/>
              </w:numPr>
              <w:spacing w:after="0" w:line="259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Оптимизация структуры организаций социального обслуживания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введенные с начала действия региональной дорожной карты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Приведение структуры домов социального обслуживания к нормативам численности </w:t>
            </w: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утверждение штатных расписаний домов социального обслуживания в соответствии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с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приказом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Министерства труда 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социальной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защиты Российской Федерации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от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14.05.2025г.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№305н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«О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>б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утверждении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Правил организации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деятельности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организаций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социального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обслуживания,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их структурных подразделений»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01.09.2026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01.12.2026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приказ,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штатное расписание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Приведение структуры учреждений социального обслуживания, предоставляющих услуги по социальной  реабилитации и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инвалидов в соответствии с требованиями  стандартов,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утвержденных во исполнение 181-ФЗ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выделение в структуре 15 комплексных центров социального обслуживания, 4 центрах социальной помощи семье и детям, реабилитационном центре, 17 домах социального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обслуживания, 2 центрах помощи детям, оставшимся без попечения родителей, отделений реабилитации и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инвалидов, детей инвалидов, ранней помощи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01.09.2026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01.12.2026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приказ, штатное расписание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rPr>
          <w:trHeight w:val="291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2.3.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Приведение структуры центров помощи детям, оставшимся без попечения родителей к нормативам численности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утверждение штатных расписаний домов социального обслуживания в соответствии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с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приказом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Министерства труда 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социальной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защиты Российской Федерации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от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14.05.2025г.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№305н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«О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>б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утверждении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Правил организации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деятельности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организаций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социального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обслуживания,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их структурных подразделений»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01.09.2026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01.12.2026</w:t>
            </w:r>
          </w:p>
        </w:tc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приказ,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штатное расписание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2.4.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Реформирование отделений помощи семье, женщинам и детям  в отделения семейных многофункциональных центров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перепрофилирование 2 отделений помощи семье, женщинам и детям в отделения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семейных многофункциональных центров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01.09.2026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приказ,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штатное расписание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2.5.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Оптимизация штатной численности учреждений социальной защиты населения в целях увеличения производительности труда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перераспределение нагрузки на 1 -го специалиста отдела социальной защиты населения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приказ, штатное расписание</w:t>
            </w:r>
          </w:p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0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Итого финансовые затраты на реализацию раздела 2 «Оптимизация структуры организаций социального обслуживания» комплекса мероприятий региональной дорожной карты по повышению производительности труда в сфере социального обслуживания (социальной защиты)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numPr>
                <w:ilvl w:val="0"/>
                <w:numId w:val="26"/>
              </w:numPr>
              <w:spacing w:after="0" w:line="259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Совершенствование регламентирующих документов (рационализация и стандартизация процессов)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введенные с начала действия региональной дорожной карты</w:t>
            </w:r>
          </w:p>
        </w:tc>
      </w:tr>
      <w:tr w:rsidR="005C626B">
        <w:trPr>
          <w:trHeight w:val="105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3.1.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Переименование стационарных организаций социального обслуживания в соответствии с номенклатурой, утвержденной </w:t>
            </w:r>
            <w:r>
              <w:rPr>
                <w:rFonts w:ascii="Times New Roman" w:eastAsia="Calibri" w:hAnsi="Times New Roman" w:cs="Times New Roman"/>
              </w:rPr>
              <w:t>приказом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Министерства труда 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социальной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защиты Российской Федерации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14.05.2025 г.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305н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«Об утверждении Правил организации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организаций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социального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обслуживания,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их структурных подразделений»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наименование 17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стационарных учреждений социального обслуживания, предоставляющих социальные услуги гражданам пожилого возраста переименованы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в соответствии с номенклатурой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01.09.2026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01.12.2026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Приведение уставов  организаций социального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обслуживания нормативным требованиям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департамент социальной политики и занятости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уставы  учреждений социального обслуживания, 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соответствуют приказам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Министерства труда 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социальной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защиты Российской Федерации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от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14.05.2025г.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№ 305н, от 31 июля 2024 г. № 385н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01.09.2026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rPr>
          <w:trHeight w:val="29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3.3.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Проведение оценки штатной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численности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организаций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социального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обслуживания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соответствие их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приказам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Министерства труда и социальной защиты Российской Федерации от 14.05.2025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г.№ 305н, от 31 июля 2024 г. № 385н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осуществление поэтапного приведения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штатных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расписаний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организаций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социального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обслуживания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соответствии с нормативом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штатной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численности, утвержденным приказом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департамента социальной политики и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занятости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населения Брянской области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01.01.2027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Штатное расписание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3.4.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Проведение ежемесячного мониторинга количества предоставляемых услуг на одного сотрудника учреждения социального обслуживания, предоставляющего услуги в форме социального обслуживания на дому и в полустационарной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достижением показателя  «Увеличение количества социальных услуг, предоставленных организацией социального обслуживания, в расчете на одного работника организации социального обслуживания» регионального проекта «Производительность труда»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01.09.2026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паспорт регионального проекта «Производительность труда»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0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Итого финансовые затраты на реализацию раздела 3 «Совершенствование регламентирующих документов (рационализация и стандартизация процессов)» комплекса мероприятий региональной дорожной карты по повышению производительности труда в сфере социального обслуживания (социальной защиты)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numPr>
                <w:ilvl w:val="0"/>
                <w:numId w:val="26"/>
              </w:numPr>
              <w:spacing w:after="0" w:line="259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Централизация бухгалтерских, кадровых и закупочных функций в сети подведомственных организаций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введенные с начала действия региональной дорожной карты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Объединение вспомогательных функций, не относящихся к предоставлению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социальных услуг, в учреждениях социального обслуживания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департамент социальной политики и занятости населения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объединение на базе 5 КЦСОН бухгалтерских, кадровых и закупочных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процедур 11 КЦСОН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01.01.2027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штатное расписание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4.2.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Объединение вспомогательных функций, не относящихся к предоставлению социальных услуг, в учреждениях социального обслуживания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объединение на базе 1 специализированного учреждения для несовершеннолетних  бухгалтерских, кадровых и закупочных процедур 6 специализированных учреждений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штатное расписание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C626B">
        <w:tc>
          <w:tcPr>
            <w:tcW w:w="10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Итого финансовые затраты на реализацию раздела 4 «Централизация бухгалтерских, кадровых и закупочных функций в сети подведомственных организаций» комплекса мероприятий региональной дорожной карты по повышению производительности труда в сфере социального обслуживания (социальной защиты)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numPr>
                <w:ilvl w:val="0"/>
                <w:numId w:val="26"/>
              </w:numPr>
              <w:spacing w:after="0" w:line="259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Передача на внешнее исполнение (аутсорсинг) отдельных вспомогательных функций,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br/>
              <w:t>не связанных непосредственно с предоставлением социальных услуг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введенные с начала действия региональной дорожной карты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Передача услуг по охране учреждения на аутсорсинг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закупка услуг по охране 4 учреждений социального обслуживания в специализированн</w:t>
            </w:r>
            <w:r>
              <w:rPr>
                <w:rFonts w:ascii="Times New Roman" w:eastAsia="Calibri" w:hAnsi="Times New Roman" w:cs="Times New Roman"/>
              </w:rPr>
              <w:lastRenderedPageBreak/>
              <w:t>ой организации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01.01.2027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 рамках текущего финансиров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в рамках текущего финансиров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ания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в рамках текущего финансиров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ания</w:t>
            </w: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в рамках текущего финансиров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ания</w:t>
            </w: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в рамках текущего финансиров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ания</w:t>
            </w:r>
          </w:p>
        </w:tc>
      </w:tr>
      <w:tr w:rsidR="005C626B">
        <w:tc>
          <w:tcPr>
            <w:tcW w:w="10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Итого финансовые затраты на реализацию раздела 5 «Передача на внешнее исполнение (аутсорсинг) отдельных вспомогательных функций, не связанных непосредственно с предоставлением социальных услуг» комплекса мероприятий региональной дорожной карты по повышению производительности труда в сфере социального обслуживания (социальной защиты)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numPr>
                <w:ilvl w:val="0"/>
                <w:numId w:val="26"/>
              </w:numPr>
              <w:spacing w:after="0" w:line="259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Внедрение цифровых решений для автоматизации основных и обеспечивающих процессов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введенные с начала действия региональной дорожной карты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Перевод формирования индивидуальной программы предоставления социальных услуг в электронный вид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департамент социальной политики и занятости населения Брянской области, отделы социальной защиты населения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автоматизация процесса формирования ИППСУ (ДИППСУ) в ведомственной информационной системе «АСП БО»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01.06.2027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Перевод формирования отчетности о предоставленных услугах на дому в электронный вид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департамент социальной политики и занятости населения Брянской области, комплексные центры социального обслуживания населения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 xml:space="preserve">внедрение модуля «Кондуит», обеспечивающего выгрузку данных о предоставленных услуг непосредственно в ГИС и приобретение планшетов для социальных работников в целях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автоматизации процесса отчетности о предоставленных услугах и контроля за их предоставлением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01.09.2026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0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Итого финансовые затраты на реализацию раздела 6 «Внедрение цифровых решений для автоматизации основных и обеспечивающих процессов» комплекса мероприятий региональной дорожной карты по повышению производительности труда в сфере социального обслуживания (социальной защиты)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numPr>
                <w:ilvl w:val="0"/>
                <w:numId w:val="26"/>
              </w:numPr>
              <w:spacing w:after="0" w:line="259" w:lineRule="auto"/>
              <w:ind w:left="0" w:hanging="7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Подключение рабочих мест работников организаций к функционалу Государственной информационной системы «Единая централизованная цифровая платформа в социальной сфере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введенные с начала действия региональной дорожной карты</w:t>
            </w:r>
          </w:p>
        </w:tc>
      </w:tr>
      <w:tr w:rsidR="005C626B">
        <w:trPr>
          <w:trHeight w:val="229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Выгрузка и получение необходимых данных и сведений посредством СМЭВ из ГИС ЕЦП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департамент социальной политики и занятости населения Брянской области, подведомственные учреждения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максимально возможное получение всех доступных сведений и документов при признании гражданина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нуждающимся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в социальном обслуживании и оказании социальных услуг 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постоянно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постоянно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Работа с банками данных ГИС ЕЦП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департамент социальной политики и занятости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населения Брянской области, подведомственные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развитие и поддержание в актуальном состоянии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системы банков данных о гражданах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постоянно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постоянно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0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Итого финансовые затраты на реализацию раздела 7 «Подключение рабочих мест работников организаций к функционалу Государственной информационной системы «Единая централизованная цифровая платформа в социальной сфере» комплекса мероприятий региональной дорожной карты по повышению производительности труда в сфере социального обслуживания (социальной защиты)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numPr>
                <w:ilvl w:val="0"/>
                <w:numId w:val="26"/>
              </w:numPr>
              <w:spacing w:after="0" w:line="259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Организация систематического обучения руководителей и работников организаций инструментам повышения производительности труда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действующие в субъекте Российской Федерации до момента утверждения региональной дорожной карты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введенные с начала действия региональной дорожной карты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Прохождение обучения специалистами учреждений на электронной  площадке "Производительность РФ»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области, подведомственные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специалисты  и руководители учреждений социального обслуживания (социальной защиты) прошли обучение инструментам производительности труда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C626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0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Итого финансовые затраты на реализацию раздела 8 «Организация систематического обучения руководителей и работников организаций инструментам повышения производительности труда» комплекса мероприятий региональной дорожной карты по повышению производительности труда в сфере социального обслуживания (социальной защиты)</w:t>
            </w: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numPr>
                <w:ilvl w:val="0"/>
                <w:numId w:val="26"/>
              </w:numPr>
              <w:spacing w:after="0" w:line="259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Тиражирование лучших практик и «коробочных решений» в организациях, входящих в региональную дорожную карту</w:t>
            </w:r>
          </w:p>
          <w:p w:rsidR="005C626B" w:rsidRDefault="005C626B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C626B">
        <w:tc>
          <w:tcPr>
            <w:tcW w:w="150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Мероприятия, введенные с начала действия региональной дорожной карты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9.1.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Внедрение лучших практик при организации работы по предоставлению социальных услуг на дому </w:t>
            </w: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области, комплексные центры социального обслуживания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внедрение автоматизированного инструмента подсчета нагрузки и планирования работы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социальных работников,</w:t>
            </w:r>
            <w:r>
              <w:rPr>
                <w:rFonts w:ascii="Times New Roman" w:eastAsia="Calibri" w:hAnsi="Times New Roman" w:cs="Times New Roman"/>
              </w:rPr>
              <w:t xml:space="preserve"> о</w:t>
            </w:r>
            <w:r>
              <w:rPr>
                <w:rFonts w:ascii="Times New Roman" w:eastAsia="Calibri" w:hAnsi="Times New Roman" w:cs="Times New Roman"/>
                <w:lang w:eastAsia="ru-RU"/>
              </w:rPr>
              <w:t>птимизация процесса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заключения/перезаключения договора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предоставления социальных услуг.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 учреждений в 2028 году, 16 учреждений в 2029 году, 24 учреждений 2030 году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приказ учреждения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Внедрение лучших практик и «коробочных решений» при предоставлении социальных услуг на дому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департамент социальной политики и занятости населения Брянской области, комплексные центры социального обслуживания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оптимизация процесса формирования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отчетности социальных работников по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предоставленным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услугам в форме обслуживания на дому. 8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учреждений в 2028 году, 16 учреждений в 2029 году, 24 учреждения в 2030 году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01.01.2028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приказ учреждения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9.3.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Внедрение лучших практик и «коробочных решений» при признании граждан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нуждающимися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в социальном обслуживании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области, отделы социальной защиты населения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сокращение времени на подготовку ИППСУ и ДИППСУ. 8 учреждений в 2028 году, 16 учреждений в 2029 году, 24 учреждения  в 2030 году</w:t>
            </w:r>
          </w:p>
          <w:p w:rsidR="005C626B" w:rsidRDefault="005C626B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приказ учреждения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5C626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9.4.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Внедрение лучших практик по организации социального обслуживания 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заключении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договора на социальное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департамент социальной политики и занятости населения Брянской области, учреждения социального обслуживания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оптимизация процесса подписания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приказов по организации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социального</w:t>
            </w:r>
            <w:proofErr w:type="gramEnd"/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обслуживания о принятии гражданина</w:t>
            </w:r>
          </w:p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на социальное обслуживание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01.01.2028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31.12.2030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приказ учреждения социального обслуживания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5C626B">
        <w:tc>
          <w:tcPr>
            <w:tcW w:w="10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Итого финансовые затраты на реализацию раздела 9 «Тиражирование лучших практик и «коробочных решений» в организациях, входящих в региональную дорожную карту» комплекса мероприятий региональной </w:t>
            </w: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дорожной карты по повышению производительности труда в сфере социального обслуживания (социальной защиты)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6B" w:rsidRDefault="005D56D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</w:t>
            </w:r>
          </w:p>
        </w:tc>
      </w:tr>
    </w:tbl>
    <w:p w:rsidR="005C626B" w:rsidRDefault="005C62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C626B" w:rsidSect="00C56A0D">
      <w:headerReference w:type="default" r:id="rId9"/>
      <w:pgSz w:w="16838" w:h="11906" w:orient="landscape"/>
      <w:pgMar w:top="1701" w:right="1134" w:bottom="1134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7E0" w:rsidRDefault="007D67E0">
      <w:pPr>
        <w:spacing w:after="0" w:line="240" w:lineRule="auto"/>
      </w:pPr>
      <w:r>
        <w:separator/>
      </w:r>
    </w:p>
  </w:endnote>
  <w:endnote w:type="continuationSeparator" w:id="0">
    <w:p w:rsidR="007D67E0" w:rsidRDefault="007D6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Droid Sans">
    <w:charset w:val="00"/>
    <w:family w:val="auto"/>
    <w:pitch w:val="default"/>
  </w:font>
  <w:font w:name="Open Sans">
    <w:altName w:val="Arial"/>
    <w:charset w:val="01"/>
    <w:family w:val="swiss"/>
    <w:pitch w:val="variable"/>
  </w:font>
  <w:font w:name="Droid Sans Devanagari">
    <w:altName w:val="Times New Roman"/>
    <w:charset w:val="01"/>
    <w:family w:val="auto"/>
    <w:pitch w:val="variable"/>
  </w:font>
  <w:font w:name="Tempora LGC Uni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7E0" w:rsidRDefault="007D67E0">
      <w:pPr>
        <w:spacing w:after="0" w:line="240" w:lineRule="auto"/>
      </w:pPr>
      <w:r>
        <w:separator/>
      </w:r>
    </w:p>
  </w:footnote>
  <w:footnote w:type="continuationSeparator" w:id="0">
    <w:p w:rsidR="007D67E0" w:rsidRDefault="007D6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6066751"/>
      <w:docPartObj>
        <w:docPartGallery w:val="Page Numbers (Top of Page)"/>
        <w:docPartUnique/>
      </w:docPartObj>
    </w:sdtPr>
    <w:sdtEndPr/>
    <w:sdtContent>
      <w:p w:rsidR="005C626B" w:rsidRDefault="005D56D7">
        <w:pPr>
          <w:pStyle w:val="1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B6D">
          <w:rPr>
            <w:noProof/>
          </w:rPr>
          <w:t>16</w:t>
        </w:r>
        <w:r>
          <w:fldChar w:fldCharType="end"/>
        </w:r>
      </w:p>
    </w:sdtContent>
  </w:sdt>
  <w:p w:rsidR="005C626B" w:rsidRDefault="005C626B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484"/>
    <w:multiLevelType w:val="multilevel"/>
    <w:tmpl w:val="793450B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46D03CD"/>
    <w:multiLevelType w:val="multilevel"/>
    <w:tmpl w:val="1BF01F3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064C428F"/>
    <w:multiLevelType w:val="multilevel"/>
    <w:tmpl w:val="3FD8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783275"/>
    <w:multiLevelType w:val="multilevel"/>
    <w:tmpl w:val="C284E3A0"/>
    <w:lvl w:ilvl="0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4">
    <w:nsid w:val="142865B3"/>
    <w:multiLevelType w:val="multilevel"/>
    <w:tmpl w:val="1B5877AC"/>
    <w:lvl w:ilvl="0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>
    <w:nsid w:val="1EB81D5B"/>
    <w:multiLevelType w:val="multilevel"/>
    <w:tmpl w:val="DC42827A"/>
    <w:lvl w:ilvl="0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6">
    <w:nsid w:val="21892DF0"/>
    <w:multiLevelType w:val="multilevel"/>
    <w:tmpl w:val="3A40FBD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>
    <w:nsid w:val="22D90C13"/>
    <w:multiLevelType w:val="multilevel"/>
    <w:tmpl w:val="E018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225583"/>
    <w:multiLevelType w:val="multilevel"/>
    <w:tmpl w:val="7042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7060C9"/>
    <w:multiLevelType w:val="multilevel"/>
    <w:tmpl w:val="92CAF9A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26B06CCE"/>
    <w:multiLevelType w:val="multilevel"/>
    <w:tmpl w:val="F44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DB5075"/>
    <w:multiLevelType w:val="multilevel"/>
    <w:tmpl w:val="C3A416C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>
    <w:nsid w:val="27150121"/>
    <w:multiLevelType w:val="multilevel"/>
    <w:tmpl w:val="1276A9FA"/>
    <w:lvl w:ilvl="0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13">
    <w:nsid w:val="290467F3"/>
    <w:multiLevelType w:val="multilevel"/>
    <w:tmpl w:val="9F6A186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2919530C"/>
    <w:multiLevelType w:val="multilevel"/>
    <w:tmpl w:val="9AB0C40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>
    <w:nsid w:val="2FBF5F79"/>
    <w:multiLevelType w:val="multilevel"/>
    <w:tmpl w:val="CC9AD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781499"/>
    <w:multiLevelType w:val="multilevel"/>
    <w:tmpl w:val="E11C9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274F35"/>
    <w:multiLevelType w:val="multilevel"/>
    <w:tmpl w:val="E81E4FD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>
    <w:nsid w:val="3C391FD3"/>
    <w:multiLevelType w:val="multilevel"/>
    <w:tmpl w:val="197C2B3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3CE00DE7"/>
    <w:multiLevelType w:val="multilevel"/>
    <w:tmpl w:val="2D6E5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995D89"/>
    <w:multiLevelType w:val="multilevel"/>
    <w:tmpl w:val="207EFBF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>
    <w:nsid w:val="3E5D2858"/>
    <w:multiLevelType w:val="multilevel"/>
    <w:tmpl w:val="DD78EA0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>
    <w:nsid w:val="41AD5A24"/>
    <w:multiLevelType w:val="multilevel"/>
    <w:tmpl w:val="AEC8C44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>
    <w:nsid w:val="453553EC"/>
    <w:multiLevelType w:val="multilevel"/>
    <w:tmpl w:val="8AF2C642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24">
    <w:nsid w:val="492F5BD7"/>
    <w:multiLevelType w:val="multilevel"/>
    <w:tmpl w:val="0004F674"/>
    <w:lvl w:ilvl="0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25">
    <w:nsid w:val="54C54AB9"/>
    <w:multiLevelType w:val="multilevel"/>
    <w:tmpl w:val="BC5250DA"/>
    <w:lvl w:ilvl="0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26">
    <w:nsid w:val="586560E1"/>
    <w:multiLevelType w:val="multilevel"/>
    <w:tmpl w:val="E84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7B39A9"/>
    <w:multiLevelType w:val="multilevel"/>
    <w:tmpl w:val="913AE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7A3EFE"/>
    <w:multiLevelType w:val="multilevel"/>
    <w:tmpl w:val="9D729E60"/>
    <w:lvl w:ilvl="0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29">
    <w:nsid w:val="78F5126E"/>
    <w:multiLevelType w:val="multilevel"/>
    <w:tmpl w:val="79900A4C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30">
    <w:nsid w:val="7C0053FF"/>
    <w:multiLevelType w:val="multilevel"/>
    <w:tmpl w:val="3BC66EC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9"/>
  </w:num>
  <w:num w:numId="4">
    <w:abstractNumId w:val="6"/>
  </w:num>
  <w:num w:numId="5">
    <w:abstractNumId w:val="23"/>
  </w:num>
  <w:num w:numId="6">
    <w:abstractNumId w:val="30"/>
  </w:num>
  <w:num w:numId="7">
    <w:abstractNumId w:val="25"/>
  </w:num>
  <w:num w:numId="8">
    <w:abstractNumId w:val="21"/>
  </w:num>
  <w:num w:numId="9">
    <w:abstractNumId w:val="5"/>
  </w:num>
  <w:num w:numId="10">
    <w:abstractNumId w:val="20"/>
  </w:num>
  <w:num w:numId="11">
    <w:abstractNumId w:val="3"/>
  </w:num>
  <w:num w:numId="12">
    <w:abstractNumId w:val="22"/>
  </w:num>
  <w:num w:numId="13">
    <w:abstractNumId w:val="12"/>
  </w:num>
  <w:num w:numId="14">
    <w:abstractNumId w:val="9"/>
  </w:num>
  <w:num w:numId="15">
    <w:abstractNumId w:val="28"/>
  </w:num>
  <w:num w:numId="16">
    <w:abstractNumId w:val="14"/>
  </w:num>
  <w:num w:numId="17">
    <w:abstractNumId w:val="24"/>
  </w:num>
  <w:num w:numId="18">
    <w:abstractNumId w:val="11"/>
  </w:num>
  <w:num w:numId="19">
    <w:abstractNumId w:val="1"/>
  </w:num>
  <w:num w:numId="20">
    <w:abstractNumId w:val="0"/>
  </w:num>
  <w:num w:numId="21">
    <w:abstractNumId w:val="0"/>
  </w:num>
  <w:num w:numId="22">
    <w:abstractNumId w:val="0"/>
  </w:num>
  <w:num w:numId="23">
    <w:abstractNumId w:val="6"/>
  </w:num>
  <w:num w:numId="24">
    <w:abstractNumId w:val="18"/>
  </w:num>
  <w:num w:numId="25">
    <w:abstractNumId w:val="17"/>
  </w:num>
  <w:num w:numId="26">
    <w:abstractNumId w:val="19"/>
  </w:num>
  <w:num w:numId="27">
    <w:abstractNumId w:val="2"/>
  </w:num>
  <w:num w:numId="28">
    <w:abstractNumId w:val="15"/>
  </w:num>
  <w:num w:numId="29">
    <w:abstractNumId w:val="16"/>
  </w:num>
  <w:num w:numId="30">
    <w:abstractNumId w:val="10"/>
  </w:num>
  <w:num w:numId="31">
    <w:abstractNumId w:val="27"/>
  </w:num>
  <w:num w:numId="32">
    <w:abstractNumId w:val="26"/>
  </w:num>
  <w:num w:numId="33">
    <w:abstractNumId w:val="8"/>
  </w:num>
  <w:num w:numId="34">
    <w:abstractNumId w:val="7"/>
  </w:num>
  <w:num w:numId="35">
    <w:abstractNumId w:val="4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6B"/>
    <w:rsid w:val="00032B6D"/>
    <w:rsid w:val="0016507D"/>
    <w:rsid w:val="001D1795"/>
    <w:rsid w:val="00246B92"/>
    <w:rsid w:val="005C626B"/>
    <w:rsid w:val="005D56D7"/>
    <w:rsid w:val="007D67E0"/>
    <w:rsid w:val="00C56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1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1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1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1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3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customStyle="1" w:styleId="110">
    <w:name w:val="Заголовок 1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customStyle="1" w:styleId="210">
    <w:name w:val="Заголовок 21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customStyle="1" w:styleId="310">
    <w:name w:val="Заголовок 31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customStyle="1" w:styleId="410">
    <w:name w:val="Заголовок 41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customStyle="1" w:styleId="510">
    <w:name w:val="Заголовок 51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customStyle="1" w:styleId="610">
    <w:name w:val="Заголовок 61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customStyle="1" w:styleId="710">
    <w:name w:val="Заголовок 71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customStyle="1" w:styleId="810">
    <w:name w:val="Заголовок 81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customStyle="1" w:styleId="910">
    <w:name w:val="Заголовок 91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table" w:styleId="a4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1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10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10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10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10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10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1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1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1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10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9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Pr>
      <w:i/>
      <w:iCs/>
      <w:color w:val="2E74B5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d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paragraph" w:customStyle="1" w:styleId="12">
    <w:name w:val="Верхний колонтитул1"/>
    <w:basedOn w:val="a"/>
    <w:link w:val="af2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12"/>
    <w:uiPriority w:val="99"/>
  </w:style>
  <w:style w:type="paragraph" w:customStyle="1" w:styleId="13">
    <w:name w:val="Нижний колонтитул1"/>
    <w:basedOn w:val="a"/>
    <w:link w:val="af3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13"/>
    <w:uiPriority w:val="99"/>
  </w:style>
  <w:style w:type="paragraph" w:customStyle="1" w:styleId="14">
    <w:name w:val="Название объекта1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Pr>
      <w:vertAlign w:val="superscript"/>
    </w:rPr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b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5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2">
    <w:name w:val="toc 6"/>
    <w:basedOn w:val="a"/>
    <w:next w:val="a"/>
    <w:uiPriority w:val="39"/>
    <w:unhideWhenUsed/>
    <w:pPr>
      <w:spacing w:after="100"/>
      <w:ind w:left="1100"/>
    </w:pPr>
  </w:style>
  <w:style w:type="paragraph" w:styleId="72">
    <w:name w:val="toc 7"/>
    <w:basedOn w:val="a"/>
    <w:next w:val="a"/>
    <w:uiPriority w:val="39"/>
    <w:unhideWhenUsed/>
    <w:pPr>
      <w:spacing w:after="100"/>
      <w:ind w:left="1320"/>
    </w:pPr>
  </w:style>
  <w:style w:type="paragraph" w:styleId="82">
    <w:name w:val="toc 8"/>
    <w:basedOn w:val="a"/>
    <w:next w:val="a"/>
    <w:uiPriority w:val="39"/>
    <w:unhideWhenUsed/>
    <w:pPr>
      <w:spacing w:after="100"/>
      <w:ind w:left="1540"/>
    </w:pPr>
  </w:style>
  <w:style w:type="paragraph" w:styleId="92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c">
    <w:name w:val="Placeholder Text"/>
    <w:basedOn w:val="a0"/>
    <w:uiPriority w:val="99"/>
    <w:semiHidden/>
    <w:rPr>
      <w:color w:val="666666"/>
    </w:rPr>
  </w:style>
  <w:style w:type="paragraph" w:styleId="afd">
    <w:name w:val="TOC Heading"/>
    <w:uiPriority w:val="39"/>
    <w:unhideWhenUsed/>
  </w:style>
  <w:style w:type="paragraph" w:styleId="afe">
    <w:name w:val="table of figures"/>
    <w:basedOn w:val="a"/>
    <w:next w:val="a"/>
    <w:uiPriority w:val="99"/>
    <w:unhideWhenUsed/>
    <w:pPr>
      <w:spacing w:after="0"/>
    </w:pPr>
  </w:style>
  <w:style w:type="paragraph" w:styleId="aff">
    <w:name w:val="No Spacing"/>
    <w:basedOn w:val="a"/>
    <w:uiPriority w:val="1"/>
    <w:qFormat/>
    <w:pPr>
      <w:spacing w:after="0" w:line="240" w:lineRule="auto"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customStyle="1" w:styleId="16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1">
    <w:name w:val="Заголовок 4 Знак1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1">
    <w:name w:val="Заголовок 6 Знак1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1">
    <w:name w:val="Заголовок 7 Знак1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1">
    <w:name w:val="Заголовок 8 Знак1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basedOn w:val="a0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0"/>
    <w:uiPriority w:val="99"/>
    <w:semiHidden/>
    <w:rPr>
      <w:sz w:val="20"/>
      <w:szCs w:val="20"/>
    </w:rPr>
  </w:style>
  <w:style w:type="character" w:customStyle="1" w:styleId="CaptionChar">
    <w:name w:val="Caption Char"/>
    <w:uiPriority w:val="99"/>
  </w:style>
  <w:style w:type="table" w:customStyle="1" w:styleId="120">
    <w:name w:val="Таблица простая 12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20">
    <w:name w:val="Таблица простая 22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0">
    <w:name w:val="Таблица простая 3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20">
    <w:name w:val="Таблица простая 4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20">
    <w:name w:val="Таблица простая 5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2">
    <w:name w:val="Таблица-сетка 1 светлая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aff3">
    <w:name w:val="Заголовок"/>
    <w:basedOn w:val="Standard"/>
    <w:next w:val="Textbody"/>
    <w:qFormat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ff4">
    <w:name w:val="Body Text"/>
    <w:basedOn w:val="a"/>
    <w:link w:val="aff5"/>
    <w:pPr>
      <w:spacing w:after="140"/>
    </w:pPr>
    <w:rPr>
      <w:rFonts w:ascii="Tempora LGC Uni" w:eastAsia="DejaVu Sans" w:hAnsi="Tempora LGC Uni" w:cs="Droid Sans Devanagari"/>
      <w:sz w:val="24"/>
      <w:szCs w:val="24"/>
      <w:lang w:eastAsia="zh-CN" w:bidi="hi-IN"/>
    </w:rPr>
  </w:style>
  <w:style w:type="character" w:customStyle="1" w:styleId="aff5">
    <w:name w:val="Основной текст Знак"/>
    <w:basedOn w:val="a0"/>
    <w:link w:val="aff4"/>
    <w:rPr>
      <w:rFonts w:ascii="Tempora LGC Uni" w:eastAsia="DejaVu Sans" w:hAnsi="Tempora LGC Uni" w:cs="Droid Sans Devanagari"/>
      <w:sz w:val="24"/>
      <w:szCs w:val="24"/>
      <w:lang w:eastAsia="zh-CN" w:bidi="hi-IN"/>
    </w:rPr>
  </w:style>
  <w:style w:type="paragraph" w:customStyle="1" w:styleId="17">
    <w:name w:val="Список1"/>
    <w:basedOn w:val="Textbody"/>
  </w:style>
  <w:style w:type="paragraph" w:customStyle="1" w:styleId="112">
    <w:name w:val="Название объекта11"/>
    <w:basedOn w:val="Standard"/>
    <w:qFormat/>
    <w:pPr>
      <w:spacing w:before="120" w:after="120"/>
    </w:pPr>
    <w:rPr>
      <w:i/>
      <w:iCs/>
    </w:rPr>
  </w:style>
  <w:style w:type="paragraph" w:customStyle="1" w:styleId="18">
    <w:name w:val="Указатель1"/>
    <w:basedOn w:val="Standard"/>
    <w:qFormat/>
  </w:style>
  <w:style w:type="paragraph" w:customStyle="1" w:styleId="DStyleparagraph">
    <w:name w:val="DStyle_paragraph"/>
    <w:qFormat/>
    <w:pPr>
      <w:spacing w:after="0" w:line="240" w:lineRule="auto"/>
    </w:pPr>
    <w:rPr>
      <w:rFonts w:ascii="Tempora LGC Uni" w:eastAsia="DejaVu Sans" w:hAnsi="Tempora LGC Uni" w:cs="Droid Sans Devanagari"/>
      <w:sz w:val="24"/>
      <w:szCs w:val="24"/>
      <w:lang w:eastAsia="zh-CN" w:bidi="hi-IN"/>
    </w:rPr>
  </w:style>
  <w:style w:type="paragraph" w:customStyle="1" w:styleId="Standard">
    <w:name w:val="Standard"/>
    <w:basedOn w:val="DStyleparagraph"/>
    <w:qFormat/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aff6">
    <w:name w:val="Содержимое таблицы"/>
    <w:basedOn w:val="a"/>
    <w:qFormat/>
    <w:pPr>
      <w:widowControl w:val="0"/>
      <w:suppressLineNumbers/>
      <w:spacing w:after="0" w:line="240" w:lineRule="auto"/>
    </w:pPr>
    <w:rPr>
      <w:rFonts w:ascii="Tempora LGC Uni" w:eastAsia="DejaVu Sans" w:hAnsi="Tempora LGC Uni" w:cs="Droid Sans Devanagari"/>
      <w:sz w:val="24"/>
      <w:szCs w:val="24"/>
      <w:lang w:eastAsia="zh-CN" w:bidi="hi-IN"/>
    </w:rPr>
  </w:style>
  <w:style w:type="paragraph" w:customStyle="1" w:styleId="aff7">
    <w:name w:val="Заголовок таблицы"/>
    <w:basedOn w:val="aff6"/>
    <w:qFormat/>
    <w:pPr>
      <w:jc w:val="center"/>
    </w:pPr>
    <w:rPr>
      <w:b/>
      <w:bCs/>
    </w:rPr>
  </w:style>
  <w:style w:type="numbering" w:customStyle="1" w:styleId="19">
    <w:name w:val="Нет списка1"/>
    <w:next w:val="a2"/>
    <w:uiPriority w:val="99"/>
    <w:semiHidden/>
    <w:unhideWhenUsed/>
  </w:style>
  <w:style w:type="table" w:customStyle="1" w:styleId="1a">
    <w:name w:val="Сетка таблицы1"/>
    <w:basedOn w:val="a1"/>
    <w:next w:val="a4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Таблица простая 121"/>
    <w:basedOn w:val="a1"/>
    <w:next w:val="120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21">
    <w:name w:val="Таблица простая 221"/>
    <w:basedOn w:val="a1"/>
    <w:next w:val="220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21">
    <w:name w:val="Таблица простая 321"/>
    <w:basedOn w:val="a1"/>
    <w:next w:val="3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21">
    <w:name w:val="Таблица простая 421"/>
    <w:basedOn w:val="a1"/>
    <w:next w:val="4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21">
    <w:name w:val="Таблица простая 521"/>
    <w:basedOn w:val="a1"/>
    <w:next w:val="5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21">
    <w:name w:val="Таблица-сетка 1 светлая21"/>
    <w:basedOn w:val="a1"/>
    <w:next w:val="-12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21">
    <w:name w:val="Таблица-сетка 221"/>
    <w:basedOn w:val="a1"/>
    <w:next w:val="-22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21">
    <w:name w:val="Таблица-сетка 321"/>
    <w:basedOn w:val="a1"/>
    <w:next w:val="-32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21">
    <w:name w:val="Таблица-сетка 421"/>
    <w:basedOn w:val="a1"/>
    <w:next w:val="-42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21">
    <w:name w:val="Таблица-сетка 5 темная21"/>
    <w:basedOn w:val="a1"/>
    <w:next w:val="-52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21">
    <w:name w:val="Таблица-сетка 6 цветная21"/>
    <w:basedOn w:val="a1"/>
    <w:next w:val="-62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21">
    <w:name w:val="Таблица-сетка 7 цветная21"/>
    <w:basedOn w:val="a1"/>
    <w:next w:val="-72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210">
    <w:name w:val="Список-таблица 1 светлая21"/>
    <w:basedOn w:val="a1"/>
    <w:next w:val="-1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210">
    <w:name w:val="Список-таблица 221"/>
    <w:basedOn w:val="a1"/>
    <w:next w:val="-2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210">
    <w:name w:val="Список-таблица 321"/>
    <w:basedOn w:val="a1"/>
    <w:next w:val="-3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210">
    <w:name w:val="Список-таблица 421"/>
    <w:basedOn w:val="a1"/>
    <w:next w:val="-4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210">
    <w:name w:val="Список-таблица 5 темная21"/>
    <w:basedOn w:val="a1"/>
    <w:next w:val="-5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210">
    <w:name w:val="Список-таблица 6 цветная21"/>
    <w:basedOn w:val="a1"/>
    <w:next w:val="-6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210">
    <w:name w:val="Список-таблица 7 цветная21"/>
    <w:basedOn w:val="a1"/>
    <w:next w:val="-720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color w:val="404040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DejaVu Sans" w:hAnsi="Times New Roman" w:cs="Droid Sans"/>
      <w:sz w:val="20"/>
      <w:szCs w:val="20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ff8">
    <w:name w:val="Revision"/>
    <w:hidden/>
    <w:uiPriority w:val="99"/>
    <w:semiHidden/>
    <w:pPr>
      <w:spacing w:after="0" w:line="240" w:lineRule="auto"/>
    </w:pPr>
  </w:style>
  <w:style w:type="table" w:customStyle="1" w:styleId="25">
    <w:name w:val="Сетка таблицы2"/>
    <w:basedOn w:val="a1"/>
    <w:next w:val="a4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4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down-word">
    <w:name w:val="markdown-word"/>
    <w:basedOn w:val="a0"/>
  </w:style>
  <w:style w:type="paragraph" w:styleId="aff9">
    <w:name w:val="header"/>
    <w:basedOn w:val="a"/>
    <w:link w:val="1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Верхний колонтитул Знак1"/>
    <w:basedOn w:val="a0"/>
    <w:link w:val="aff9"/>
    <w:uiPriority w:val="99"/>
  </w:style>
  <w:style w:type="paragraph" w:styleId="affa">
    <w:name w:val="footer"/>
    <w:basedOn w:val="a"/>
    <w:link w:val="1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c">
    <w:name w:val="Нижний колонтитул Знак1"/>
    <w:basedOn w:val="a0"/>
    <w:link w:val="affa"/>
    <w:uiPriority w:val="99"/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A8B54F31-7BE4-4D4F-A328-ED1C7DDDF0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Язвенко Елена Алексеевна</dc:creator>
  <cp:keywords/>
  <dc:description/>
  <cp:lastModifiedBy>БлиноваТатьяна Сергеевна</cp:lastModifiedBy>
  <cp:revision>63</cp:revision>
  <cp:lastPrinted>2026-08-26T13:58:00Z</cp:lastPrinted>
  <dcterms:created xsi:type="dcterms:W3CDTF">2026-06-22T09:20:00Z</dcterms:created>
  <dcterms:modified xsi:type="dcterms:W3CDTF">2026-08-26T13:58:00Z</dcterms:modified>
</cp:coreProperties>
</file>